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8"/>
          <w:szCs w:val="28"/>
          <w:lang w:val="en-US" w:eastAsia="zh-CN"/>
        </w:rPr>
        <w:t>附件2</w:t>
      </w:r>
    </w:p>
    <w:p>
      <w:pPr>
        <w:ind w:firstLine="3960" w:firstLineChars="90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报价单</w:t>
      </w:r>
    </w:p>
    <w:bookmarkEnd w:id="0"/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760"/>
        <w:gridCol w:w="1760"/>
        <w:gridCol w:w="1760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pc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948" w:type="pc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48" w:type="pc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规格型号及参数等内容</w:t>
            </w:r>
          </w:p>
        </w:tc>
        <w:tc>
          <w:tcPr>
            <w:tcW w:w="948" w:type="pc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081" w:type="pc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制作安装宣传画框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192幅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制作安装党徽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9幅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制作安装入党誓词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9幅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86-98寸商显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9台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98-120寸商显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定制发布信息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1套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改拆一办两扇办公室木门的位置，对墙体进行砌墙、抹灰、粉刷等，并参照原来的实木的标准，制作安装木门及门套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1项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二办一楼墙体进行挖掘，将商显嵌入墙体，拆除石材、补装石材以及建渣外运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1项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审计陈列室领导一览表等部分栏目内容调整完善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1项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制作安装公示牌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10个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制作安装整容镜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3个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全自动立式感应擦鞋机及布线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5台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设计制作职工活动室过道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1次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研磨一体全自动商用咖啡机器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最终报价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：               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备注：1.本项目预算28万元人民币。最终报价超过采购预算的报价文件无效。2.上述产品数量为预估量，最终结算以实际数量据实结算。3.交货时间：方案经业主审核确定后15日内。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          </w:t>
      </w:r>
    </w:p>
    <w:p>
      <w:pPr>
        <w:ind w:firstLine="5140" w:firstLineChars="16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报价人：（单位全称）盖章</w:t>
      </w:r>
    </w:p>
    <w:p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 2025年  月  日</w:t>
      </w:r>
    </w:p>
    <w:p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</w:p>
    <w:p/>
    <w:sectPr>
      <w:footerReference r:id="rId3" w:type="default"/>
      <w:pgSz w:w="11906" w:h="16838"/>
      <w:pgMar w:top="2098" w:right="1417" w:bottom="2098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B4BE"/>
    <w:rsid w:val="7CFFB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2025-11-07T15:55:00Z</dcterms:created>
  <dc:creator>耿莉莉</dc:creator>
  <cp:lastModifiedBy>耿莉莉</cp:lastModifiedBy>
  <dcterms:modified xsi:type="dcterms:W3CDTF">2025-11-07T15:56:38Z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