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0"/>
        <w:gridCol w:w="2010"/>
        <w:gridCol w:w="1450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82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单价</w:t>
            </w:r>
          </w:p>
        </w:tc>
        <w:tc>
          <w:tcPr>
            <w:tcW w:w="564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673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8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英派斯FGT300电动跑步机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6台</w:t>
            </w:r>
          </w:p>
        </w:tc>
        <w:tc>
          <w:tcPr>
            <w:tcW w:w="1673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80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红双喜大彩虹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instrText xml:space="preserve"> HYPERLINK "http://detail.tmall.com/venus/spu_detail.htm?spu_id=142691436&amp;no_switch=1&amp;default_item_id=16050150223&amp;spm=a220o.1000855.1000983" \t "_blank"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乒乓球台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fldChar w:fldCharType="end"/>
            </w:r>
          </w:p>
        </w:tc>
        <w:tc>
          <w:tcPr>
            <w:tcW w:w="782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3台</w:t>
            </w:r>
          </w:p>
        </w:tc>
        <w:tc>
          <w:tcPr>
            <w:tcW w:w="1673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备注：1.本项目预算12万元人民币。最终报价超过采购预算的报价文件无效。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2.最终报价等于单价报价乘以数量。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3.成交原则为最终报价最低的供应商为成交供应商。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4.交货时间：合同签订后3日内完成供货、安装。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ind w:firstLine="7067" w:firstLineChars="2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2024年    月    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附件2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技术要求应答表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89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采购技术要求</w:t>
            </w:r>
          </w:p>
        </w:tc>
        <w:tc>
          <w:tcPr>
            <w:tcW w:w="1667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  <w:t>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英派斯FGT300电动跑步机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1、使用者重量上限：150kg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2、电子表：5LED窗口+8*24矩阵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3、电源要求：220V10A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4、额定功率：DC2.5HP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5、峰值功率：5.0HP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6、速度范围：0.5-18km/h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7、坡度范围：0-15％（15档调节）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8、减震系统：10点全跑台减震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9、显示信息：速度、坡度、时间、距离、卡路里、心率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10、心率监测：手握心率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11、</w:t>
            </w:r>
            <w:r>
              <w:rPr>
                <w:rFonts w:hint="eastAsia" w:eastAsia="宋体" w:cs="Times New Roman"/>
                <w:lang w:val="en-US" w:eastAsia="zh-CN"/>
              </w:rPr>
              <w:t>快捷按键：速度直选键8个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12、预设程序24个、目标程序3个、用户程序3个、体质测试程序1个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13、产品尺寸：1856*811*1546mm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14、跑步区域：520*1700mm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15、净重：115kg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16、跑板厚度：20mm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17、跑带厚度：1.8mm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18、隐藏式触感LED镜面屏：采用隐藏式电容感应按键设计，反应敏感，无需按压，增长产品使用寿命；屏幕在未通电状态下为一体式黑色镜面，提升外观美感。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19、多窗口显示：5LED窗口+8*24矩阵矩操控屏，无需频繁切换，运动信息一目了然。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20、智能飞梭旋钮：按下启动，左旋减速/右旋加速，短按暂停，长按停止；并可在参数设置时进行快捷调节。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21、多功能中控台：飞梭旋钮启停控制功能、停止按键、安全绳开关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安全功能、手握心跳监测功能、手机/PAD架、水杯架置物功能、USB充电、无线充电功能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22、贯穿式跑台：采用下沉式马达设计，跑带贯穿整个跑台，大大提升跑带利用率，跑步空间提升20%，520mm×1700mm较大跑步区域，让奔跑畅快无阻。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23、全跑台缓冲系统：10点全跑台缓冲减震，减少运动冲击，保护运动健康。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24、节电环保设计：5分钟空载停机，进入待机状态；待机状态10分钟无指令输入，系统进入节电模式，屏幕自动关闭，按任意键可唤醒。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25、供应商须提供制造商针对本项目的授权书原件，加盖制造商鲜章。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26、供应商提供售后服务两年及以上。</w:t>
            </w:r>
          </w:p>
        </w:tc>
        <w:tc>
          <w:tcPr>
            <w:tcW w:w="1667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红双喜大彩虹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instrText xml:space="preserve"> HYPERLINK "http://detail.tmall.com/venus/spu_detail.htm?spu_id=142691436&amp;no_switch=1&amp;default_item_id=16050150223&amp;spm=a220o.1000855.1000983" \t "_blank"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乒乓球台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1、台面尺寸:2740*1525MM</w:t>
            </w:r>
            <w:r>
              <w:rPr>
                <w:rFonts w:hint="eastAsia" w:eastAsia="宋体" w:cs="Times New Roman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lang w:val="en-US" w:eastAsia="zh-CN"/>
              </w:rPr>
              <w:t>2、台高: 760MM</w:t>
            </w:r>
            <w:r>
              <w:rPr>
                <w:rFonts w:hint="eastAsia" w:eastAsia="宋体" w:cs="Times New Roman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lang w:val="en-US" w:eastAsia="zh-CN"/>
              </w:rPr>
              <w:t>3、弹性: 230-260MM</w:t>
            </w:r>
            <w:r>
              <w:rPr>
                <w:rFonts w:hint="eastAsia" w:eastAsia="宋体" w:cs="Times New Roman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lang w:val="en-US" w:eastAsia="zh-CN"/>
              </w:rPr>
              <w:t>4、弹性均匀度:≤5MM</w:t>
            </w:r>
            <w:r>
              <w:rPr>
                <w:rFonts w:hint="eastAsia" w:eastAsia="宋体" w:cs="Times New Roman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lang w:val="en-US" w:eastAsia="zh-CN"/>
              </w:rPr>
              <w:t>5、台面光泽度:≤4度</w:t>
            </w:r>
            <w:r>
              <w:rPr>
                <w:rFonts w:hint="eastAsia" w:eastAsia="宋体" w:cs="Times New Roman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lang w:val="en-US" w:eastAsia="zh-CN"/>
              </w:rPr>
              <w:t>6、台面摩擦系数:≤0.3</w:t>
            </w:r>
            <w:r>
              <w:rPr>
                <w:rFonts w:hint="eastAsia" w:eastAsia="宋体" w:cs="Times New Roman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lang w:val="en-US" w:eastAsia="zh-CN"/>
              </w:rPr>
              <w:t>7、球台稳定性:≤7MM</w:t>
            </w:r>
          </w:p>
        </w:tc>
        <w:tc>
          <w:tcPr>
            <w:tcW w:w="1667" w:type="pct"/>
            <w:noWrap w:val="0"/>
            <w:vAlign w:val="top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注：</w:t>
      </w: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供应商能满足</w:t>
      </w:r>
      <w:r>
        <w:rPr>
          <w:rFonts w:hint="eastAsia" w:ascii="宋体" w:hAnsi="宋体"/>
          <w:sz w:val="24"/>
          <w:lang w:eastAsia="zh-CN"/>
        </w:rPr>
        <w:t>技术</w:t>
      </w:r>
      <w:r>
        <w:rPr>
          <w:rFonts w:hint="eastAsia" w:ascii="宋体" w:hAnsi="宋体"/>
          <w:sz w:val="24"/>
        </w:rPr>
        <w:t>要求的，进入报价程序，不能满足</w:t>
      </w:r>
      <w:r>
        <w:rPr>
          <w:rFonts w:hint="eastAsia" w:ascii="宋体" w:hAnsi="宋体"/>
          <w:sz w:val="24"/>
          <w:lang w:eastAsia="zh-CN"/>
        </w:rPr>
        <w:t>技术</w:t>
      </w:r>
      <w:r>
        <w:rPr>
          <w:rFonts w:hint="eastAsia" w:ascii="宋体" w:hAnsi="宋体"/>
          <w:sz w:val="24"/>
        </w:rPr>
        <w:t>要求的，则作无效响应文件处理。</w:t>
      </w:r>
    </w:p>
    <w:p>
      <w:pPr>
        <w:ind w:firstLine="480" w:firstLineChars="20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2.除上述技术要求外，供应商应对产品售后服务进行承诺。</w:t>
      </w: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ind w:firstLine="7067" w:firstLineChars="2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2024年    月    日</w:t>
      </w:r>
    </w:p>
    <w:p>
      <w:pPr>
        <w:jc w:val="left"/>
        <w:rPr>
          <w:rFonts w:hint="default" w:ascii="宋体" w:hAnsi="宋体"/>
          <w:sz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2098" w:bottom="1417" w:left="209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46D4"/>
    <w:rsid w:val="7A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2024-03-12T14:32:00Z</dcterms:created>
  <dc:creator>kylin</dc:creator>
  <cp:lastModifiedBy>kylin</cp:lastModifiedBy>
  <dcterms:modified xsi:type="dcterms:W3CDTF">2024-03-12T14:32:44Z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