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附件1</w:t>
      </w:r>
    </w:p>
    <w:p>
      <w:pPr>
        <w:pStyle w:val="2"/>
        <w:pageBreakBefore w:val="0"/>
        <w:tabs>
          <w:tab w:val="left" w:pos="426"/>
          <w:tab w:val="left" w:pos="567"/>
        </w:tabs>
        <w:kinsoku/>
        <w:wordWrap/>
        <w:overflowPunct/>
        <w:topLinePunct w:val="0"/>
        <w:autoSpaceDN/>
        <w:bidi w:val="0"/>
        <w:adjustRightInd/>
        <w:snapToGrid w:val="0"/>
        <w:spacing w:before="0" w:after="0" w:line="360" w:lineRule="auto"/>
        <w:ind w:left="0" w:leftChars="0" w:right="0" w:rightChars="0" w:firstLine="0" w:firstLineChars="0"/>
        <w:jc w:val="center"/>
        <w:textAlignment w:val="auto"/>
        <w:rPr>
          <w:rFonts w:hint="eastAsia"/>
          <w:sz w:val="32"/>
          <w:szCs w:val="32"/>
          <w:highlight w:val="none"/>
          <w:lang w:val="en-US" w:eastAsia="zh-CN"/>
        </w:rPr>
      </w:pPr>
      <w:bookmarkStart w:id="1" w:name="_GoBack"/>
      <w:bookmarkStart w:id="0" w:name="_Toc482954669"/>
      <w:r>
        <w:rPr>
          <w:rFonts w:hint="eastAsia"/>
          <w:sz w:val="32"/>
          <w:szCs w:val="32"/>
          <w:highlight w:val="none"/>
          <w:lang w:val="en-US" w:eastAsia="zh-CN"/>
        </w:rPr>
        <w:t>电子密码锁具报价单</w:t>
      </w:r>
      <w:bookmarkEnd w:id="0"/>
    </w:p>
    <w:bookmarkEnd w:id="1"/>
    <w:tbl>
      <w:tblPr>
        <w:tblStyle w:val="5"/>
        <w:tblW w:w="12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838"/>
        <w:gridCol w:w="3393"/>
        <w:gridCol w:w="1163"/>
        <w:gridCol w:w="155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技术参数及商务要求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响应条件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单价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开锁方式：指纹、密码、NFC卡、钥匙等临时密码开锁，其中临时密码可以自由设置时段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8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监控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功能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：支持查看门锁状态，操作记录。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联网方式：蓝牙，WiFi，4G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须支持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应急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开锁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模式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，如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USB Type-C</w:t>
            </w: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供电（或其他接口），钥匙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须具备防止外力解锁功能，如防电磁干扰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79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838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质保期：3年</w:t>
            </w:r>
          </w:p>
        </w:tc>
        <w:tc>
          <w:tcPr>
            <w:tcW w:w="3393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67" w:type="dxa"/>
            <w:vMerge w:val="continue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896" w:type="dxa"/>
            <w:gridSpan w:val="6"/>
            <w:noWrap w:val="0"/>
            <w:vAlign w:val="center"/>
          </w:tcPr>
          <w:p>
            <w:pPr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备注：1.本项目预算1.4万元，数量为7套，最终报价超过采购预算的无效。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2.成交原则为满足所有技术参数和商务要求且报价最低为成交供应商。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3.供应商报价须逐条相应，必须据实填写，不得虚假响应，否则将取消报价成交资格。若采购人在项目实施中发现成交供应商虚假响应，则采购人有权单方面中止合同。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4.供应商必须按“报价单”的格式及采购所需货物详细报出货物价格，不得漏报，否则视为已包含在报价中不再单独另行报价，不影响有效性</w:t>
            </w:r>
          </w:p>
          <w:p>
            <w:pPr>
              <w:ind w:left="0" w:leftChars="0" w:right="0" w:righ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highlight w:val="none"/>
                <w:vertAlign w:val="baseline"/>
                <w:lang w:val="en-US" w:eastAsia="zh-CN"/>
              </w:rPr>
              <w:t>5.最终报价应是全部货物的最终报价，包括人工费、安装调试费、验收、国内税费、培训费、定期维护费等费用及一切其它相关费用。</w:t>
            </w:r>
          </w:p>
        </w:tc>
      </w:tr>
    </w:tbl>
    <w:p>
      <w:pPr>
        <w:jc w:val="both"/>
        <w:rPr>
          <w:rFonts w:hint="eastAsia"/>
          <w:b w:val="0"/>
          <w:bCs w:val="0"/>
          <w:sz w:val="28"/>
          <w:szCs w:val="28"/>
          <w:highlight w:val="none"/>
          <w:lang w:val="en-US" w:eastAsia="zh-CN"/>
        </w:rPr>
      </w:pPr>
    </w:p>
    <w:p/>
    <w:sectPr>
      <w:pgSz w:w="16838" w:h="11906" w:orient="landscape"/>
      <w:pgMar w:top="1417" w:right="2098" w:bottom="1417" w:left="2098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DU2NzUzNzU3NTNjZWRmM2U5MGQyN2NlMjY0ZDUifQ=="/>
  </w:docVars>
  <w:rsids>
    <w:rsidRoot w:val="446840F2"/>
    <w:rsid w:val="4468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560" w:lineRule="exact"/>
      <w:ind w:firstLine="880" w:firstLineChars="200"/>
      <w:jc w:val="left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2023-11-09T08:44:00Z</dcterms:created>
  <dc:creator>lureen</dc:creator>
  <cp:lastModifiedBy>lureen</cp:lastModifiedBy>
  <dcterms:modified xsi:type="dcterms:W3CDTF">2023-11-09T08:44:30Z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4BF438DC39804CB592149535CA764687_11</vt:lpwstr>
  </property>
</Properties>
</file>