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spacing w:line="500" w:lineRule="exact"/>
        <w:jc w:val="center"/>
        <w:rPr>
          <w:rFonts w:hint="eastAsia" w:ascii="方正小标宋简体" w:hAnsi="方正小标宋简体" w:eastAsia="方正小标宋简体" w:cs="方正小标宋简体"/>
          <w:sz w:val="44"/>
          <w:szCs w:val="44"/>
        </w:rPr>
      </w:pPr>
      <w:bookmarkStart w:id="0" w:name="_Toc106960348"/>
      <w:r>
        <w:rPr>
          <w:rFonts w:hint="eastAsia" w:ascii="方正小标宋简体" w:hAnsi="方正小标宋简体" w:eastAsia="方正小标宋简体" w:cs="方正小标宋简体"/>
          <w:sz w:val="44"/>
          <w:szCs w:val="44"/>
        </w:rPr>
        <w:t>亚洲开发银行贷款四川资阳绿色转型和发展</w:t>
      </w:r>
    </w:p>
    <w:p>
      <w:pPr>
        <w:pStyle w:val="11"/>
        <w:snapToGrid w:val="0"/>
        <w:spacing w:line="50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审计结果</w:t>
      </w:r>
    </w:p>
    <w:p>
      <w:pPr>
        <w:pStyle w:val="13"/>
        <w:jc w:val="both"/>
      </w:pPr>
    </w:p>
    <w:p>
      <w:pPr>
        <w:pStyle w:val="13"/>
        <w:jc w:val="both"/>
      </w:pPr>
      <w:r>
        <w:t>一、审计师意见</w:t>
      </w:r>
      <w:bookmarkEnd w:id="0"/>
    </w:p>
    <w:p>
      <w:pPr>
        <w:pStyle w:val="11"/>
        <w:spacing w:line="400" w:lineRule="exact"/>
        <w:rPr>
          <w:sz w:val="28"/>
          <w:szCs w:val="28"/>
        </w:rPr>
      </w:pPr>
    </w:p>
    <w:p>
      <w:pPr>
        <w:pStyle w:val="15"/>
        <w:outlineLvl w:val="1"/>
      </w:pPr>
      <w:r>
        <w:rPr>
          <w:rFonts w:ascii="仿宋_GB2312"/>
        </w:rPr>
        <w:t>审计师意见</w:t>
      </w:r>
    </w:p>
    <w:p>
      <w:pPr>
        <w:pStyle w:val="15"/>
        <w:rPr>
          <w:rFonts w:eastAsia="宋体"/>
        </w:rPr>
      </w:pPr>
      <w:r>
        <w:rPr>
          <w:rFonts w:eastAsia="宋体"/>
        </w:rPr>
        <w:t xml:space="preserve"> </w:t>
      </w:r>
    </w:p>
    <w:p>
      <w:pPr>
        <w:pStyle w:val="17"/>
        <w:ind w:firstLine="0" w:firstLineChars="0"/>
        <w:jc w:val="left"/>
        <w:rPr>
          <w:rFonts w:ascii="Times New Roman"/>
        </w:rPr>
      </w:pPr>
      <w:r>
        <w:rPr>
          <w:rFonts w:hint="eastAsia" w:hAnsi="仿宋"/>
        </w:rPr>
        <w:t>亚洲开发银行贷款四川资阳绿色转型和发展项目办公室：</w:t>
      </w:r>
    </w:p>
    <w:p>
      <w:pPr>
        <w:pStyle w:val="11"/>
        <w:spacing w:line="400" w:lineRule="exact"/>
        <w:ind w:left="45"/>
        <w:jc w:val="center"/>
        <w:rPr>
          <w:b/>
          <w:sz w:val="28"/>
          <w:szCs w:val="28"/>
        </w:rPr>
      </w:pPr>
      <w:r>
        <w:rPr>
          <w:b/>
          <w:sz w:val="28"/>
          <w:szCs w:val="28"/>
        </w:rPr>
        <w:t xml:space="preserve"> </w:t>
      </w:r>
    </w:p>
    <w:p>
      <w:pPr>
        <w:pStyle w:val="17"/>
        <w:rPr>
          <w:rFonts w:ascii="Times New Roman"/>
        </w:rPr>
      </w:pPr>
      <w:r>
        <w:t>我们审计了亚洲开发银行贷款四川资阳绿色转型和发展项目</w:t>
      </w:r>
      <w:r>
        <w:rPr>
          <w:rFonts w:ascii="Times New Roman"/>
        </w:rPr>
        <w:t>202</w:t>
      </w:r>
      <w:r>
        <w:rPr>
          <w:rFonts w:hint="eastAsia" w:ascii="Times New Roman"/>
        </w:rPr>
        <w:t>1</w:t>
      </w:r>
      <w:r>
        <w:t>年</w:t>
      </w:r>
      <w:r>
        <w:rPr>
          <w:rFonts w:ascii="Times New Roman"/>
        </w:rPr>
        <w:t>12</w:t>
      </w:r>
      <w:r>
        <w:t>月</w:t>
      </w:r>
      <w:r>
        <w:rPr>
          <w:rFonts w:ascii="Times New Roman"/>
        </w:rPr>
        <w:t>31</w:t>
      </w:r>
      <w:r>
        <w:t>日的资金平衡表，以及截至该日同期间的项目进度表、贷款协定执行情况表和专用账户报表等特定目的财务报表及财务报表附注（第</w:t>
      </w:r>
      <w:r>
        <w:rPr>
          <w:rFonts w:ascii="Times New Roman"/>
        </w:rPr>
        <w:t>3</w:t>
      </w:r>
      <w:r>
        <w:t>至</w:t>
      </w:r>
      <w:r>
        <w:rPr>
          <w:rFonts w:hint="eastAsia" w:ascii="Times New Roman"/>
          <w:lang w:val="en-US" w:eastAsia="zh-CN"/>
        </w:rPr>
        <w:t>25</w:t>
      </w:r>
      <w:r>
        <w:t>页）。</w:t>
      </w:r>
    </w:p>
    <w:p>
      <w:pPr>
        <w:pStyle w:val="17"/>
        <w:rPr>
          <w:rFonts w:ascii="Times New Roman"/>
        </w:rPr>
      </w:pPr>
      <w:r>
        <w:rPr>
          <w:rFonts w:ascii="Times New Roman"/>
        </w:rPr>
        <w:t xml:space="preserve"> </w:t>
      </w:r>
    </w:p>
    <w:p>
      <w:pPr>
        <w:pStyle w:val="18"/>
        <w:rPr>
          <w:rFonts w:ascii="Times New Roman" w:hAnsi="Times New Roman" w:eastAsia="宋体" w:cs="Times New Roman"/>
          <w:b/>
          <w:snapToGrid w:val="0"/>
          <w:kern w:val="0"/>
          <w:sz w:val="28"/>
          <w:szCs w:val="28"/>
          <w:highlight w:val="none"/>
          <w:lang w:val="en-US" w:eastAsia="zh-CN" w:bidi="ar-SA"/>
        </w:rPr>
      </w:pPr>
      <w:r>
        <w:rPr>
          <w:rFonts w:ascii="宋体" w:hAnsi="宋体" w:eastAsia="宋体"/>
          <w:b/>
        </w:rPr>
        <w:t>（一）</w:t>
      </w:r>
      <w:r>
        <w:rPr>
          <w:rFonts w:ascii="Times New Roman" w:hAnsi="Times New Roman" w:eastAsia="宋体" w:cs="Times New Roman"/>
          <w:b/>
          <w:bCs/>
          <w:snapToGrid w:val="0"/>
          <w:kern w:val="0"/>
          <w:sz w:val="28"/>
          <w:szCs w:val="28"/>
          <w:highlight w:val="none"/>
          <w:lang w:val="en-US" w:eastAsia="zh-CN" w:bidi="ar-SA"/>
        </w:rPr>
        <w:t>项目执行机构及四川省财政厅对财务报表的责任</w:t>
      </w:r>
    </w:p>
    <w:p>
      <w:pPr>
        <w:pStyle w:val="18"/>
        <w:outlineLvl w:val="1"/>
        <w:rPr>
          <w:rFonts w:ascii="Times New Roman" w:eastAsia="宋体"/>
          <w:b/>
        </w:rPr>
      </w:pPr>
    </w:p>
    <w:p>
      <w:pPr>
        <w:pStyle w:val="18"/>
        <w:rPr>
          <w:rFonts w:ascii="Times New Roman"/>
        </w:rPr>
      </w:pPr>
      <w:r>
        <w:rPr>
          <w:rFonts w:ascii="Times New Roman"/>
        </w:rPr>
        <w:t xml:space="preserve"> </w:t>
      </w:r>
      <w:r>
        <w:t>编制上述财务报表中的资金平衡表、项目进度表及贷款协定执行情况表是</w:t>
      </w:r>
      <w:r>
        <w:rPr>
          <w:rFonts w:hint="eastAsia"/>
          <w:spacing w:val="-11"/>
        </w:rPr>
        <w:t>你办</w:t>
      </w:r>
      <w:r>
        <w:t>的责任，</w:t>
      </w:r>
      <w:r>
        <w:rPr>
          <w:rFonts w:hint="eastAsia"/>
        </w:rPr>
        <w:t>编制专用账户报表是四川省财政厅的责任，</w:t>
      </w:r>
      <w:r>
        <w:t>这种责任包括：</w:t>
      </w:r>
      <w:r>
        <w:rPr>
          <w:rFonts w:hint="eastAsia" w:ascii="Times New Roman"/>
        </w:rPr>
        <w:t xml:space="preserve"> </w:t>
      </w:r>
    </w:p>
    <w:p>
      <w:pPr>
        <w:pStyle w:val="18"/>
        <w:ind w:firstLine="560" w:firstLineChars="200"/>
        <w:rPr>
          <w:rFonts w:ascii="Times New Roman"/>
        </w:rPr>
      </w:pPr>
      <w:r>
        <w:rPr>
          <w:rFonts w:ascii="Times New Roman"/>
        </w:rPr>
        <w:t>1</w:t>
      </w:r>
      <w:r>
        <w:t>．按照中国的会计准则、会计制度和本项目贷款协定的要求编制项目财务报表，并使其实现公允反映；</w:t>
      </w:r>
    </w:p>
    <w:p>
      <w:pPr>
        <w:pStyle w:val="18"/>
        <w:ind w:firstLine="560" w:firstLineChars="200"/>
        <w:rPr>
          <w:rFonts w:ascii="Times New Roman"/>
        </w:rPr>
      </w:pPr>
      <w:r>
        <w:rPr>
          <w:rFonts w:ascii="Times New Roman"/>
        </w:rPr>
        <w:t>2</w:t>
      </w:r>
      <w:r>
        <w:t>．设计、执行和维护必要的内部控制，以使项目财务报表不存在由于舞弊或错误而导致的重大错报。</w:t>
      </w:r>
    </w:p>
    <w:p>
      <w:pPr>
        <w:pStyle w:val="18"/>
        <w:rPr>
          <w:rFonts w:ascii="Times New Roman"/>
        </w:rPr>
      </w:pPr>
      <w:r>
        <w:rPr>
          <w:rFonts w:ascii="Times New Roman"/>
        </w:rPr>
        <w:t xml:space="preserve"> </w:t>
      </w:r>
    </w:p>
    <w:p>
      <w:pPr>
        <w:pStyle w:val="18"/>
        <w:outlineLvl w:val="1"/>
        <w:rPr>
          <w:rFonts w:ascii="Times New Roman" w:eastAsia="宋体"/>
          <w:b/>
        </w:rPr>
      </w:pPr>
      <w:r>
        <w:rPr>
          <w:rFonts w:ascii="宋体" w:hAnsi="宋体" w:eastAsia="宋体"/>
          <w:b/>
        </w:rPr>
        <w:t>（二）审计责任</w:t>
      </w:r>
    </w:p>
    <w:p>
      <w:pPr>
        <w:pStyle w:val="18"/>
        <w:rPr>
          <w:rFonts w:ascii="Times New Roman"/>
        </w:rPr>
      </w:pPr>
      <w:r>
        <w:rPr>
          <w:rFonts w:ascii="Times New Roman"/>
        </w:rPr>
        <w:t xml:space="preserve"> </w:t>
      </w:r>
    </w:p>
    <w:p>
      <w:pPr>
        <w:pStyle w:val="18"/>
        <w:rPr>
          <w:rFonts w:ascii="Times New Roman"/>
        </w:rPr>
      </w:pPr>
      <w: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pPr>
        <w:pStyle w:val="18"/>
        <w:rPr>
          <w:rFonts w:ascii="Times New Roman"/>
        </w:rPr>
      </w:pPr>
      <w: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pPr>
        <w:pStyle w:val="18"/>
        <w:rPr>
          <w:rFonts w:ascii="Times New Roman"/>
        </w:rPr>
      </w:pPr>
      <w:r>
        <w:t>我们相信，我们获取的审计证据是适当的、充分的，为发表审计意见提供了基础。</w:t>
      </w:r>
    </w:p>
    <w:p>
      <w:pPr>
        <w:pStyle w:val="18"/>
        <w:rPr>
          <w:rFonts w:ascii="Times New Roman"/>
        </w:rPr>
      </w:pPr>
      <w:r>
        <w:rPr>
          <w:rFonts w:ascii="Times New Roman"/>
        </w:rPr>
        <w:t xml:space="preserve"> </w:t>
      </w:r>
    </w:p>
    <w:p>
      <w:pPr>
        <w:pStyle w:val="11"/>
        <w:spacing w:line="400" w:lineRule="exact"/>
        <w:ind w:firstLine="560" w:firstLineChars="200"/>
        <w:outlineLvl w:val="1"/>
        <w:rPr>
          <w:b/>
          <w:sz w:val="28"/>
          <w:szCs w:val="28"/>
        </w:rPr>
      </w:pPr>
      <w:r>
        <w:rPr>
          <w:rFonts w:ascii="宋体" w:hAnsi="宋体"/>
          <w:b/>
          <w:sz w:val="28"/>
          <w:szCs w:val="28"/>
        </w:rPr>
        <w:t>（三）审计意见</w:t>
      </w:r>
    </w:p>
    <w:p>
      <w:pPr>
        <w:pStyle w:val="18"/>
        <w:rPr>
          <w:rFonts w:ascii="Times New Roman"/>
        </w:rPr>
      </w:pPr>
      <w:r>
        <w:rPr>
          <w:rFonts w:ascii="Times New Roman"/>
        </w:rPr>
        <w:t xml:space="preserve"> </w:t>
      </w:r>
    </w:p>
    <w:p>
      <w:pPr>
        <w:pStyle w:val="18"/>
        <w:rPr>
          <w:rFonts w:ascii="Times New Roman"/>
        </w:rPr>
      </w:pPr>
      <w:r>
        <w:t>我们认为，</w:t>
      </w:r>
      <w:r>
        <w:rPr>
          <w:rFonts w:hint="eastAsia"/>
        </w:rPr>
        <w:t>第一段所列</w:t>
      </w:r>
      <w:r>
        <w:t>财务报表在所有重大方面按照中国的会计准则、会计制度和本项目贷款协定的要求编制，公允反映了</w:t>
      </w:r>
      <w:r>
        <w:rPr>
          <w:rFonts w:hint="eastAsia"/>
        </w:rPr>
        <w:t>亚洲开发银行贷款四川资阳绿色转型和发展项目</w:t>
      </w:r>
      <w:r>
        <w:rPr>
          <w:rFonts w:ascii="Times New Roman"/>
        </w:rPr>
        <w:t>202</w:t>
      </w:r>
      <w:r>
        <w:rPr>
          <w:rFonts w:hint="eastAsia" w:ascii="Times New Roman"/>
        </w:rPr>
        <w:t>1</w:t>
      </w:r>
      <w:r>
        <w:t>年</w:t>
      </w:r>
      <w:r>
        <w:rPr>
          <w:rFonts w:ascii="Times New Roman"/>
        </w:rPr>
        <w:t>12</w:t>
      </w:r>
      <w:r>
        <w:t>月</w:t>
      </w:r>
      <w:r>
        <w:rPr>
          <w:rFonts w:ascii="Times New Roman"/>
        </w:rPr>
        <w:t>31</w:t>
      </w:r>
      <w:r>
        <w:t>日的财务状况</w:t>
      </w:r>
      <w:r>
        <w:rPr>
          <w:rFonts w:hint="eastAsia"/>
        </w:rPr>
        <w:t>，以</w:t>
      </w:r>
      <w:r>
        <w:t>及截至该日同</w:t>
      </w:r>
      <w:r>
        <w:rPr>
          <w:rFonts w:hint="eastAsia"/>
        </w:rPr>
        <w:t>期间财务收支、项目执行和专用账户收支</w:t>
      </w:r>
      <w:r>
        <w:t>情况。</w:t>
      </w:r>
    </w:p>
    <w:p>
      <w:pPr>
        <w:pStyle w:val="18"/>
        <w:rPr>
          <w:rFonts w:ascii="Times New Roman"/>
        </w:rPr>
      </w:pPr>
      <w:r>
        <w:rPr>
          <w:rFonts w:ascii="Times New Roman"/>
        </w:rPr>
        <w:t xml:space="preserve"> </w:t>
      </w:r>
    </w:p>
    <w:p>
      <w:pPr>
        <w:pStyle w:val="11"/>
        <w:spacing w:line="400" w:lineRule="exact"/>
        <w:ind w:firstLine="560" w:firstLineChars="200"/>
        <w:outlineLvl w:val="1"/>
        <w:rPr>
          <w:b/>
          <w:sz w:val="28"/>
          <w:szCs w:val="28"/>
        </w:rPr>
      </w:pPr>
      <w:r>
        <w:rPr>
          <w:rFonts w:ascii="宋体" w:hAnsi="宋体"/>
          <w:b/>
          <w:sz w:val="28"/>
          <w:szCs w:val="28"/>
        </w:rPr>
        <w:t>（四）其他事项</w:t>
      </w:r>
    </w:p>
    <w:p>
      <w:pPr>
        <w:pStyle w:val="11"/>
        <w:spacing w:line="400" w:lineRule="exact"/>
        <w:ind w:firstLine="560" w:firstLineChars="200"/>
        <w:rPr>
          <w:rFonts w:eastAsia="仿宋_GB2312"/>
          <w:b/>
          <w:sz w:val="28"/>
          <w:szCs w:val="28"/>
        </w:rPr>
      </w:pPr>
      <w:r>
        <w:rPr>
          <w:rFonts w:ascii="仿宋_GB2312" w:eastAsia="仿宋_GB2312"/>
          <w:sz w:val="28"/>
          <w:szCs w:val="28"/>
        </w:rPr>
        <w:t>我们审查了本期内</w:t>
      </w:r>
      <w:r>
        <w:rPr>
          <w:rFonts w:hint="eastAsia" w:ascii="仿宋_GB2312" w:eastAsia="仿宋_GB2312"/>
          <w:sz w:val="28"/>
          <w:szCs w:val="28"/>
        </w:rPr>
        <w:t>由四川省财政厅</w:t>
      </w:r>
      <w:r>
        <w:rPr>
          <w:rFonts w:ascii="仿宋_GB2312" w:eastAsia="仿宋_GB2312"/>
          <w:sz w:val="28"/>
          <w:szCs w:val="28"/>
        </w:rPr>
        <w:t>报送给亚洲开发银行</w:t>
      </w:r>
      <w:r>
        <w:rPr>
          <w:rFonts w:hint="eastAsia" w:ascii="仿宋_GB2312" w:eastAsia="仿宋_GB2312"/>
          <w:sz w:val="28"/>
          <w:szCs w:val="28"/>
        </w:rPr>
        <w:t>的</w:t>
      </w:r>
      <w:r>
        <w:rPr>
          <w:rFonts w:hint="eastAsia" w:eastAsia="仿宋_GB2312"/>
          <w:sz w:val="28"/>
          <w:szCs w:val="28"/>
        </w:rPr>
        <w:t>ZY003</w:t>
      </w:r>
      <w:r>
        <w:rPr>
          <w:rFonts w:hint="eastAsia" w:ascii="仿宋_GB2312" w:eastAsia="仿宋_GB2312"/>
          <w:sz w:val="28"/>
          <w:szCs w:val="28"/>
        </w:rPr>
        <w:t>、</w:t>
      </w:r>
      <w:r>
        <w:rPr>
          <w:rFonts w:hint="eastAsia" w:eastAsia="仿宋_GB2312"/>
          <w:sz w:val="28"/>
          <w:szCs w:val="28"/>
        </w:rPr>
        <w:t>ZY004</w:t>
      </w:r>
      <w:r>
        <w:rPr>
          <w:rFonts w:hint="eastAsia" w:ascii="仿宋_GB2312" w:eastAsia="仿宋_GB2312"/>
          <w:sz w:val="28"/>
          <w:szCs w:val="28"/>
        </w:rPr>
        <w:t>号</w:t>
      </w:r>
      <w:r>
        <w:rPr>
          <w:rFonts w:ascii="仿宋_GB2312" w:eastAsia="仿宋_GB2312"/>
          <w:sz w:val="28"/>
          <w:szCs w:val="28"/>
        </w:rPr>
        <w:t>提款申请书及所附资料。我们认为，这些资料均符合贷款协定的要求，可以作为申请提款的依据。</w:t>
      </w:r>
    </w:p>
    <w:p>
      <w:pPr>
        <w:pStyle w:val="11"/>
        <w:spacing w:line="400" w:lineRule="exact"/>
        <w:ind w:firstLine="560" w:firstLineChars="200"/>
        <w:rPr>
          <w:rFonts w:eastAsia="仿宋_GB2312"/>
          <w:sz w:val="28"/>
          <w:szCs w:val="28"/>
        </w:rPr>
      </w:pPr>
      <w:r>
        <w:rPr>
          <w:rFonts w:ascii="仿宋_GB2312" w:eastAsia="仿宋_GB2312"/>
          <w:sz w:val="28"/>
          <w:szCs w:val="28"/>
        </w:rPr>
        <w:t>本审计师意见之后，共同构成审计报告的还有两项内容：财务报表及财务报表附注、审计发现的问题及建议。</w:t>
      </w:r>
    </w:p>
    <w:p>
      <w:pPr>
        <w:pStyle w:val="18"/>
        <w:rPr>
          <w:rFonts w:ascii="Times New Roman"/>
        </w:rPr>
      </w:pPr>
      <w:r>
        <w:rPr>
          <w:rFonts w:ascii="Times New Roman"/>
        </w:rPr>
        <w:t xml:space="preserve"> </w:t>
      </w:r>
    </w:p>
    <w:p>
      <w:pPr>
        <w:pStyle w:val="18"/>
        <w:rPr>
          <w:rFonts w:ascii="Times New Roman"/>
        </w:rPr>
      </w:pPr>
      <w:r>
        <w:rPr>
          <w:rFonts w:ascii="Times New Roman"/>
        </w:rPr>
        <w:t xml:space="preserve"> </w:t>
      </w:r>
    </w:p>
    <w:p>
      <w:pPr>
        <w:pStyle w:val="11"/>
        <w:wordWrap w:val="0"/>
        <w:snapToGrid w:val="0"/>
        <w:spacing w:line="400" w:lineRule="exact"/>
        <w:ind w:firstLine="4760" w:firstLineChars="1700"/>
        <w:jc w:val="center"/>
        <w:rPr>
          <w:rFonts w:eastAsia="仿宋_GB2312"/>
          <w:color w:val="000000"/>
          <w:sz w:val="28"/>
          <w:szCs w:val="28"/>
        </w:rPr>
      </w:pPr>
      <w:r>
        <w:rPr>
          <w:rFonts w:hint="eastAsia" w:ascii="仿宋_GB2312" w:eastAsia="仿宋_GB2312"/>
          <w:color w:val="000000"/>
          <w:sz w:val="28"/>
          <w:szCs w:val="28"/>
        </w:rPr>
        <w:t>四川省审计厅</w:t>
      </w:r>
      <w:r>
        <w:rPr>
          <w:rFonts w:hint="eastAsia" w:eastAsia="仿宋_GB2312"/>
          <w:sz w:val="28"/>
          <w:szCs w:val="28"/>
        </w:rPr>
        <w:t xml:space="preserve">   </w:t>
      </w:r>
    </w:p>
    <w:p>
      <w:pPr>
        <w:pStyle w:val="11"/>
        <w:snapToGrid w:val="0"/>
        <w:spacing w:line="400" w:lineRule="exact"/>
        <w:ind w:firstLine="5460" w:firstLineChars="1950"/>
        <w:rPr>
          <w:rFonts w:eastAsia="仿宋_GB2312"/>
          <w:sz w:val="28"/>
          <w:szCs w:val="28"/>
        </w:rPr>
      </w:pPr>
      <w:r>
        <w:rPr>
          <w:rFonts w:eastAsia="仿宋_GB2312"/>
          <w:sz w:val="28"/>
          <w:szCs w:val="28"/>
        </w:rPr>
        <w:t>202</w:t>
      </w:r>
      <w:r>
        <w:rPr>
          <w:rFonts w:hint="eastAsia" w:eastAsia="仿宋_GB2312"/>
          <w:sz w:val="28"/>
          <w:szCs w:val="28"/>
        </w:rPr>
        <w:t>2</w:t>
      </w:r>
      <w:r>
        <w:rPr>
          <w:rFonts w:ascii="仿宋_GB2312" w:eastAsia="仿宋_GB2312"/>
          <w:sz w:val="28"/>
          <w:szCs w:val="28"/>
        </w:rPr>
        <w:t>年</w:t>
      </w:r>
      <w:r>
        <w:rPr>
          <w:rFonts w:hint="eastAsia" w:eastAsia="仿宋_GB2312"/>
          <w:sz w:val="28"/>
          <w:szCs w:val="28"/>
        </w:rPr>
        <w:t>6</w:t>
      </w:r>
      <w:r>
        <w:rPr>
          <w:rFonts w:ascii="仿宋_GB2312" w:eastAsia="仿宋_GB2312"/>
          <w:sz w:val="28"/>
          <w:szCs w:val="28"/>
        </w:rPr>
        <w:t>月</w:t>
      </w:r>
      <w:r>
        <w:rPr>
          <w:rFonts w:hint="eastAsia" w:eastAsia="仿宋_GB2312"/>
          <w:sz w:val="28"/>
          <w:szCs w:val="28"/>
          <w:lang w:val="en-US" w:eastAsia="zh-CN"/>
        </w:rPr>
        <w:t>27</w:t>
      </w:r>
      <w:r>
        <w:rPr>
          <w:rFonts w:ascii="仿宋_GB2312" w:eastAsia="仿宋_GB2312"/>
          <w:sz w:val="28"/>
          <w:szCs w:val="28"/>
        </w:rPr>
        <w:t>日</w:t>
      </w:r>
    </w:p>
    <w:p>
      <w:pPr>
        <w:pStyle w:val="11"/>
        <w:snapToGrid w:val="0"/>
        <w:spacing w:line="400" w:lineRule="exact"/>
        <w:ind w:firstLine="5880" w:firstLineChars="2100"/>
        <w:rPr>
          <w:rFonts w:eastAsia="仿宋_GB2312"/>
          <w:sz w:val="28"/>
          <w:szCs w:val="28"/>
        </w:rPr>
      </w:pPr>
      <w:r>
        <w:rPr>
          <w:rFonts w:eastAsia="仿宋_GB2312"/>
          <w:sz w:val="28"/>
          <w:szCs w:val="28"/>
        </w:rPr>
        <w:t xml:space="preserve"> </w:t>
      </w:r>
    </w:p>
    <w:p>
      <w:pPr>
        <w:pStyle w:val="11"/>
        <w:snapToGrid w:val="0"/>
        <w:spacing w:line="400" w:lineRule="exact"/>
        <w:ind w:firstLine="6440" w:firstLineChars="2300"/>
        <w:rPr>
          <w:rFonts w:eastAsia="仿宋_GB2312"/>
          <w:sz w:val="28"/>
          <w:szCs w:val="28"/>
        </w:rPr>
      </w:pPr>
      <w:r>
        <w:rPr>
          <w:rFonts w:eastAsia="仿宋_GB2312"/>
          <w:sz w:val="28"/>
          <w:szCs w:val="28"/>
        </w:rPr>
        <w:t xml:space="preserve"> </w:t>
      </w:r>
    </w:p>
    <w:p>
      <w:pPr>
        <w:pStyle w:val="19"/>
        <w:jc w:val="both"/>
        <w:rPr>
          <w:rFonts w:ascii="Times New Roman"/>
        </w:rPr>
      </w:pPr>
      <w:r>
        <w:t>地址：中国四川省成都市永兴巷</w:t>
      </w:r>
      <w:r>
        <w:rPr>
          <w:rFonts w:ascii="Times New Roman"/>
        </w:rPr>
        <w:t>15</w:t>
      </w:r>
      <w:r>
        <w:t>号</w:t>
      </w:r>
    </w:p>
    <w:p>
      <w:pPr>
        <w:pStyle w:val="19"/>
        <w:jc w:val="both"/>
        <w:rPr>
          <w:rFonts w:ascii="Times New Roman"/>
        </w:rPr>
      </w:pPr>
      <w:r>
        <w:t>邮政编码：</w:t>
      </w:r>
      <w:r>
        <w:rPr>
          <w:rFonts w:ascii="Times New Roman"/>
        </w:rPr>
        <w:t>610012</w:t>
      </w:r>
    </w:p>
    <w:p>
      <w:pPr>
        <w:pStyle w:val="19"/>
        <w:jc w:val="both"/>
        <w:rPr>
          <w:rFonts w:ascii="Times New Roman"/>
        </w:rPr>
      </w:pPr>
      <w:r>
        <w:t>电话：</w:t>
      </w:r>
      <w:r>
        <w:rPr>
          <w:rFonts w:ascii="Times New Roman"/>
        </w:rPr>
        <w:t>86-028-8652</w:t>
      </w:r>
      <w:r>
        <w:rPr>
          <w:rFonts w:hint="eastAsia" w:ascii="Times New Roman"/>
        </w:rPr>
        <w:t>2202</w:t>
      </w:r>
    </w:p>
    <w:p>
      <w:pPr>
        <w:pStyle w:val="19"/>
        <w:jc w:val="both"/>
        <w:rPr>
          <w:rFonts w:ascii="Times New Roman"/>
        </w:rPr>
      </w:pPr>
      <w:r>
        <w:t>传真：</w:t>
      </w:r>
      <w:r>
        <w:rPr>
          <w:rFonts w:ascii="Times New Roman"/>
        </w:rPr>
        <w:t>86-028-8652</w:t>
      </w:r>
      <w:r>
        <w:rPr>
          <w:rFonts w:hint="eastAsia" w:ascii="Times New Roman"/>
        </w:rPr>
        <w:t>22</w:t>
      </w:r>
      <w:r>
        <w:rPr>
          <w:rFonts w:ascii="Times New Roman"/>
        </w:rPr>
        <w:t>3</w:t>
      </w:r>
      <w:r>
        <w:rPr>
          <w:rFonts w:hint="eastAsia" w:ascii="Times New Roman"/>
        </w:rPr>
        <w:t>0</w:t>
      </w:r>
    </w:p>
    <w:p>
      <w:pPr>
        <w:widowControl/>
        <w:jc w:val="left"/>
        <w:rPr>
          <w:rFonts w:ascii="Times New Roman"/>
        </w:rPr>
        <w:sectPr>
          <w:headerReference r:id="rId3" w:type="default"/>
          <w:footerReference r:id="rId4" w:type="default"/>
          <w:footerReference r:id="rId5" w:type="even"/>
          <w:footnotePr>
            <w:numRestart w:val="eachPage"/>
          </w:footnotePr>
          <w:pgSz w:w="11907" w:h="16840"/>
          <w:pgMar w:top="2098" w:right="1474" w:bottom="1985" w:left="1588" w:header="851" w:footer="992" w:gutter="0"/>
          <w:pgNumType w:start="1"/>
          <w:cols w:space="720" w:num="1"/>
          <w:docGrid w:type="linesAndChars" w:linePitch="312" w:charSpace="0"/>
        </w:sectPr>
      </w:pPr>
    </w:p>
    <w:p>
      <w:pPr>
        <w:pStyle w:val="20"/>
      </w:pPr>
      <w:bookmarkStart w:id="1" w:name="_Toc106960360"/>
      <w:r>
        <w:t>二、财务报表及财务报表附注</w:t>
      </w:r>
      <w:bookmarkEnd w:id="1"/>
    </w:p>
    <w:p>
      <w:pPr>
        <w:pStyle w:val="20"/>
      </w:pPr>
      <w:bookmarkStart w:id="2" w:name="_Toc106960361"/>
      <w:r>
        <w:t>II. Financial Statements and Notes to the Financial Statements</w:t>
      </w:r>
      <w:bookmarkEnd w:id="2"/>
      <w:r>
        <w:t xml:space="preserve"> </w:t>
      </w:r>
    </w:p>
    <w:p>
      <w:pPr>
        <w:pStyle w:val="21"/>
        <w:rPr>
          <w:rFonts w:ascii="Times New Roman"/>
        </w:rPr>
      </w:pPr>
      <w:bookmarkStart w:id="3" w:name="_Toc106960362"/>
      <w:r>
        <w:rPr>
          <w:rFonts w:ascii="Times New Roman"/>
        </w:rPr>
        <w:t>（一）资金平衡表</w:t>
      </w:r>
      <w:bookmarkEnd w:id="3"/>
    </w:p>
    <w:p>
      <w:pPr>
        <w:pStyle w:val="21"/>
        <w:rPr>
          <w:rFonts w:ascii="Times New Roman"/>
        </w:rPr>
      </w:pPr>
      <w:bookmarkStart w:id="4" w:name="_Toc106960363"/>
      <w:r>
        <w:rPr>
          <w:rFonts w:ascii="Times New Roman"/>
        </w:rPr>
        <w:t>i. Balance Sheet</w:t>
      </w:r>
      <w:bookmarkEnd w:id="4"/>
      <w:r>
        <w:rPr>
          <w:rFonts w:ascii="Times New Roman"/>
        </w:rPr>
        <w:t xml:space="preserve"> </w:t>
      </w:r>
    </w:p>
    <w:p>
      <w:pPr>
        <w:pStyle w:val="24"/>
        <w:outlineLvl w:val="1"/>
      </w:pPr>
      <w:bookmarkStart w:id="5" w:name="_Toc106960364"/>
      <w:r>
        <w:t>资 金 平 衡 表</w:t>
      </w:r>
      <w:bookmarkEnd w:id="5"/>
    </w:p>
    <w:p>
      <w:pPr>
        <w:pStyle w:val="25"/>
        <w:rPr>
          <w:rFonts w:ascii="Times New Roman" w:hAnsi="Times New Roman" w:cs="Times New Roman"/>
          <w:b/>
          <w:bCs/>
          <w:snapToGrid w:val="0"/>
          <w:kern w:val="0"/>
          <w:sz w:val="32"/>
          <w:szCs w:val="32"/>
          <w:highlight w:val="none"/>
          <w:lang w:val="en-US" w:eastAsia="zh-CN" w:bidi="ar-SA"/>
        </w:rPr>
      </w:pPr>
      <w:r>
        <w:rPr>
          <w:rFonts w:ascii="Times New Roman" w:hAnsi="Times New Roman" w:cs="Times New Roman"/>
          <w:b/>
          <w:bCs/>
          <w:snapToGrid w:val="0"/>
          <w:kern w:val="0"/>
          <w:sz w:val="32"/>
          <w:szCs w:val="32"/>
          <w:highlight w:val="none"/>
          <w:lang w:val="en-US" w:eastAsia="zh-CN" w:bidi="ar-SA"/>
        </w:rPr>
        <w:t>BALANCE SHEET</w:t>
      </w:r>
    </w:p>
    <w:p>
      <w:pPr>
        <w:pStyle w:val="25"/>
      </w:pPr>
      <w:r>
        <w:t>2021年12月31日</w:t>
      </w:r>
    </w:p>
    <w:p>
      <w:pPr>
        <w:pStyle w:val="25"/>
        <w:rPr>
          <w:rFonts w:hint="eastAsia" w:eastAsia="仿宋_GB2312"/>
          <w:lang w:val="en-US" w:eastAsia="zh-CN"/>
        </w:rPr>
      </w:pPr>
      <w:r>
        <w:rPr>
          <w:rFonts w:hint="eastAsia"/>
          <w:lang w:val="en-US" w:eastAsia="zh-CN"/>
        </w:rPr>
        <w:t>(</w:t>
      </w:r>
      <w:r>
        <w:t>As of December 31, 2021</w:t>
      </w:r>
      <w:r>
        <w:rPr>
          <w:rFonts w:hint="eastAsia"/>
          <w:lang w:val="en-US" w:eastAsia="zh-CN"/>
        </w:rPr>
        <w:t>)</w:t>
      </w:r>
    </w:p>
    <w:tbl>
      <w:tblPr>
        <w:tblStyle w:val="10"/>
        <w:tblW w:w="9967" w:type="dxa"/>
        <w:tblInd w:w="0" w:type="dxa"/>
        <w:tblLayout w:type="fixed"/>
        <w:tblCellMar>
          <w:top w:w="0" w:type="dxa"/>
          <w:left w:w="108" w:type="dxa"/>
          <w:bottom w:w="0" w:type="dxa"/>
          <w:right w:w="108" w:type="dxa"/>
        </w:tblCellMar>
      </w:tblPr>
      <w:tblGrid>
        <w:gridCol w:w="1750"/>
        <w:gridCol w:w="1553"/>
        <w:gridCol w:w="1721"/>
        <w:gridCol w:w="1619"/>
        <w:gridCol w:w="1647"/>
        <w:gridCol w:w="1677"/>
      </w:tblGrid>
      <w:tr>
        <w:tblPrEx>
          <w:tblLayout w:type="fixed"/>
          <w:tblCellMar>
            <w:top w:w="0" w:type="dxa"/>
            <w:left w:w="108" w:type="dxa"/>
            <w:bottom w:w="0" w:type="dxa"/>
            <w:right w:w="108" w:type="dxa"/>
          </w:tblCellMar>
        </w:tblPrEx>
        <w:trPr>
          <w:trHeight w:val="90" w:hRule="atLeast"/>
        </w:trPr>
        <w:tc>
          <w:tcPr>
            <w:tcW w:w="6643" w:type="dxa"/>
            <w:gridSpan w:val="4"/>
            <w:tcBorders>
              <w:right w:val="nil"/>
            </w:tcBorders>
          </w:tcPr>
          <w:p>
            <w:pPr>
              <w:pStyle w:val="11"/>
              <w:snapToGrid w:val="0"/>
              <w:spacing w:line="240" w:lineRule="atLeast"/>
              <w:jc w:val="left"/>
              <w:rPr>
                <w:rFonts w:eastAsia="仿宋_GB2312"/>
              </w:rPr>
            </w:pPr>
            <w:r>
              <w:rPr>
                <w:rFonts w:eastAsia="仿宋_GB2312"/>
              </w:rPr>
              <w:t xml:space="preserve">项目名称：亚洲开发银行贷款四川资阳绿色转型和发展项目 </w:t>
            </w:r>
          </w:p>
          <w:p>
            <w:pPr>
              <w:pStyle w:val="11"/>
              <w:snapToGrid w:val="0"/>
              <w:spacing w:line="240" w:lineRule="atLeast"/>
              <w:jc w:val="left"/>
              <w:rPr>
                <w:rFonts w:eastAsia="仿宋_GB2312"/>
              </w:rPr>
            </w:pPr>
            <w:r>
              <w:rPr>
                <w:rFonts w:eastAsia="仿宋_GB2312"/>
              </w:rPr>
              <w:t xml:space="preserve">Project Name: Loan Project Financed by ADB for the Green Transformation and Development of Ziyang, Sichuan Province </w:t>
            </w:r>
          </w:p>
        </w:tc>
        <w:tc>
          <w:tcPr>
            <w:tcW w:w="3324" w:type="dxa"/>
            <w:gridSpan w:val="2"/>
            <w:tcBorders>
              <w:left w:val="nil"/>
            </w:tcBorders>
          </w:tcPr>
          <w:p>
            <w:pPr>
              <w:pStyle w:val="11"/>
              <w:snapToGrid w:val="0"/>
              <w:spacing w:line="240" w:lineRule="atLeast"/>
              <w:jc w:val="right"/>
              <w:rPr>
                <w:rFonts w:eastAsia="仿宋_GB2312"/>
                <w:kern w:val="0"/>
              </w:rPr>
            </w:pPr>
          </w:p>
        </w:tc>
      </w:tr>
      <w:tr>
        <w:tblPrEx>
          <w:tblLayout w:type="fixed"/>
          <w:tblCellMar>
            <w:top w:w="0" w:type="dxa"/>
            <w:left w:w="108" w:type="dxa"/>
            <w:bottom w:w="0" w:type="dxa"/>
            <w:right w:w="108" w:type="dxa"/>
          </w:tblCellMar>
        </w:tblPrEx>
        <w:tc>
          <w:tcPr>
            <w:tcW w:w="6643" w:type="dxa"/>
            <w:gridSpan w:val="4"/>
            <w:tcBorders>
              <w:right w:val="nil"/>
            </w:tcBorders>
          </w:tcPr>
          <w:p>
            <w:pPr>
              <w:pStyle w:val="11"/>
              <w:snapToGrid w:val="0"/>
              <w:spacing w:line="240" w:lineRule="atLeast"/>
              <w:jc w:val="left"/>
              <w:rPr>
                <w:rFonts w:eastAsia="仿宋_GB2312"/>
                <w:kern w:val="0"/>
              </w:rPr>
            </w:pPr>
            <w:r>
              <w:rPr>
                <w:rFonts w:eastAsia="仿宋_GB2312"/>
                <w:kern w:val="0"/>
              </w:rPr>
              <w:t>编报单位：亚洲开发银行贷款四川资阳绿色转型和发展项目办公室</w:t>
            </w:r>
          </w:p>
          <w:p>
            <w:pPr>
              <w:pStyle w:val="11"/>
              <w:snapToGrid w:val="0"/>
              <w:spacing w:line="240" w:lineRule="atLeast"/>
              <w:jc w:val="left"/>
              <w:rPr>
                <w:rFonts w:eastAsia="仿宋_GB2312"/>
                <w:kern w:val="0"/>
              </w:rPr>
            </w:pPr>
            <w:r>
              <w:rPr>
                <w:rFonts w:eastAsia="仿宋_GB2312"/>
                <w:kern w:val="0"/>
              </w:rPr>
              <w:t xml:space="preserve">Prepared by: Office of Loan Project Financed by ADB for the Green Transformation and Development of Ziyang, Sichuan Province </w:t>
            </w:r>
          </w:p>
        </w:tc>
        <w:tc>
          <w:tcPr>
            <w:tcW w:w="3324" w:type="dxa"/>
            <w:gridSpan w:val="2"/>
            <w:tcBorders>
              <w:left w:val="nil"/>
            </w:tcBorders>
          </w:tcPr>
          <w:p>
            <w:pPr>
              <w:pStyle w:val="11"/>
              <w:snapToGrid w:val="0"/>
              <w:spacing w:line="240" w:lineRule="atLeast"/>
              <w:jc w:val="right"/>
              <w:rPr>
                <w:rFonts w:eastAsia="仿宋_GB2312"/>
                <w:kern w:val="0"/>
              </w:rPr>
            </w:pPr>
            <w:r>
              <w:rPr>
                <w:rFonts w:eastAsia="仿宋_GB2312"/>
                <w:kern w:val="0"/>
              </w:rPr>
              <w:t>货币单位：人民币元</w:t>
            </w:r>
          </w:p>
          <w:p>
            <w:pPr>
              <w:pStyle w:val="11"/>
              <w:snapToGrid w:val="0"/>
              <w:spacing w:line="240" w:lineRule="atLeast"/>
              <w:jc w:val="right"/>
              <w:rPr>
                <w:rFonts w:eastAsia="仿宋_GB2312"/>
                <w:kern w:val="0"/>
              </w:rPr>
            </w:pPr>
            <w:r>
              <w:rPr>
                <w:rFonts w:eastAsia="仿宋_GB2312"/>
                <w:kern w:val="0"/>
              </w:rPr>
              <w:t xml:space="preserve">Currency Unit: RMB yuan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1750" w:type="dxa"/>
            <w:tcBorders>
              <w:top w:val="single" w:color="auto" w:sz="4" w:space="0"/>
              <w:left w:val="single" w:color="auto" w:sz="4" w:space="0"/>
              <w:bottom w:val="single" w:color="auto" w:sz="4" w:space="0"/>
              <w:right w:val="single" w:color="auto" w:sz="4" w:space="0"/>
            </w:tcBorders>
            <w:vAlign w:val="bottom"/>
          </w:tcPr>
          <w:p>
            <w:pPr>
              <w:pStyle w:val="26"/>
              <w:widowControl/>
              <w:spacing w:line="280" w:lineRule="exact"/>
              <w:jc w:val="center"/>
              <w:textAlignment w:val="bottom"/>
              <w:rPr>
                <w:kern w:val="0"/>
                <w:sz w:val="18"/>
                <w:szCs w:val="18"/>
              </w:rPr>
            </w:pPr>
            <w:r>
              <w:rPr>
                <w:kern w:val="0"/>
                <w:sz w:val="18"/>
                <w:szCs w:val="18"/>
              </w:rPr>
              <w:t>资 金 占 用</w:t>
            </w:r>
          </w:p>
          <w:p>
            <w:pPr>
              <w:pStyle w:val="26"/>
              <w:widowControl/>
              <w:spacing w:line="280" w:lineRule="exact"/>
              <w:jc w:val="center"/>
              <w:textAlignment w:val="bottom"/>
              <w:rPr>
                <w:kern w:val="0"/>
                <w:sz w:val="18"/>
                <w:szCs w:val="18"/>
              </w:rPr>
            </w:pPr>
            <w:r>
              <w:rPr>
                <w:rFonts w:ascii="Times New Roman" w:hAnsi="Times New Roman" w:cs="Times New Roman"/>
                <w:snapToGrid w:val="0"/>
                <w:kern w:val="0"/>
                <w:sz w:val="15"/>
                <w:szCs w:val="15"/>
                <w:highlight w:val="none"/>
                <w:lang w:val="en-US" w:eastAsia="zh-CN" w:bidi="ar-SA"/>
              </w:rPr>
              <w:t>Application of Fund</w:t>
            </w:r>
            <w:r>
              <w:rPr>
                <w:kern w:val="0"/>
                <w:sz w:val="18"/>
                <w:szCs w:val="18"/>
              </w:rPr>
              <w:t xml:space="preserve"> </w:t>
            </w:r>
          </w:p>
        </w:tc>
        <w:tc>
          <w:tcPr>
            <w:tcW w:w="1553" w:type="dxa"/>
            <w:tcBorders>
              <w:top w:val="single" w:color="auto" w:sz="4" w:space="0"/>
              <w:left w:val="nil"/>
              <w:bottom w:val="single" w:color="auto" w:sz="4" w:space="0"/>
              <w:right w:val="single" w:color="auto" w:sz="4" w:space="0"/>
            </w:tcBorders>
            <w:vAlign w:val="bottom"/>
          </w:tcPr>
          <w:p>
            <w:pPr>
              <w:pStyle w:val="26"/>
              <w:widowControl/>
              <w:spacing w:line="280" w:lineRule="exact"/>
              <w:jc w:val="center"/>
              <w:textAlignment w:val="bottom"/>
              <w:rPr>
                <w:kern w:val="0"/>
                <w:sz w:val="18"/>
                <w:szCs w:val="18"/>
              </w:rPr>
            </w:pPr>
            <w:r>
              <w:rPr>
                <w:kern w:val="0"/>
                <w:sz w:val="18"/>
                <w:szCs w:val="18"/>
              </w:rPr>
              <w:t xml:space="preserve">期 初 数 </w:t>
            </w:r>
          </w:p>
          <w:p>
            <w:pPr>
              <w:pStyle w:val="26"/>
              <w:widowControl/>
              <w:spacing w:line="280" w:lineRule="exact"/>
              <w:jc w:val="center"/>
              <w:textAlignment w:val="bottom"/>
              <w:rPr>
                <w:kern w:val="0"/>
                <w:sz w:val="18"/>
                <w:szCs w:val="18"/>
              </w:rPr>
            </w:pPr>
            <w:r>
              <w:rPr>
                <w:kern w:val="0"/>
                <w:sz w:val="18"/>
                <w:szCs w:val="18"/>
              </w:rPr>
              <w:t xml:space="preserve">Beginning Balance </w:t>
            </w:r>
          </w:p>
        </w:tc>
        <w:tc>
          <w:tcPr>
            <w:tcW w:w="1721" w:type="dxa"/>
            <w:tcBorders>
              <w:top w:val="single" w:color="auto" w:sz="4" w:space="0"/>
              <w:left w:val="nil"/>
              <w:bottom w:val="single" w:color="auto" w:sz="4" w:space="0"/>
              <w:right w:val="single" w:color="auto" w:sz="4" w:space="0"/>
            </w:tcBorders>
            <w:vAlign w:val="center"/>
          </w:tcPr>
          <w:p>
            <w:pPr>
              <w:pStyle w:val="26"/>
              <w:widowControl/>
              <w:spacing w:line="280" w:lineRule="exact"/>
              <w:jc w:val="center"/>
              <w:textAlignment w:val="bottom"/>
              <w:rPr>
                <w:kern w:val="0"/>
                <w:sz w:val="18"/>
                <w:szCs w:val="18"/>
              </w:rPr>
            </w:pPr>
            <w:r>
              <w:rPr>
                <w:kern w:val="0"/>
                <w:sz w:val="18"/>
                <w:szCs w:val="18"/>
              </w:rPr>
              <w:t>期 末 数</w:t>
            </w:r>
          </w:p>
          <w:p>
            <w:pPr>
              <w:pStyle w:val="26"/>
              <w:widowControl/>
              <w:spacing w:line="280" w:lineRule="exact"/>
              <w:jc w:val="center"/>
              <w:textAlignment w:val="bottom"/>
              <w:rPr>
                <w:kern w:val="0"/>
                <w:sz w:val="18"/>
                <w:szCs w:val="18"/>
              </w:rPr>
            </w:pPr>
            <w:r>
              <w:rPr>
                <w:kern w:val="0"/>
                <w:sz w:val="18"/>
                <w:szCs w:val="18"/>
              </w:rPr>
              <w:t>Ending Balance</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jc w:val="center"/>
              <w:textAlignment w:val="bottom"/>
              <w:rPr>
                <w:kern w:val="0"/>
                <w:sz w:val="18"/>
                <w:szCs w:val="18"/>
              </w:rPr>
            </w:pPr>
            <w:r>
              <w:rPr>
                <w:kern w:val="0"/>
                <w:sz w:val="18"/>
                <w:szCs w:val="18"/>
              </w:rPr>
              <w:t>资 金 来 源</w:t>
            </w:r>
          </w:p>
          <w:p>
            <w:pPr>
              <w:pStyle w:val="26"/>
              <w:widowControl/>
              <w:spacing w:line="280" w:lineRule="exact"/>
              <w:jc w:val="center"/>
              <w:textAlignment w:val="bottom"/>
              <w:rPr>
                <w:kern w:val="0"/>
                <w:sz w:val="18"/>
                <w:szCs w:val="18"/>
              </w:rPr>
            </w:pPr>
            <w:r>
              <w:rPr>
                <w:kern w:val="0"/>
                <w:sz w:val="18"/>
                <w:szCs w:val="18"/>
              </w:rPr>
              <w:t>Sources of Fund</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center"/>
              <w:textAlignment w:val="bottom"/>
              <w:rPr>
                <w:kern w:val="0"/>
                <w:sz w:val="18"/>
                <w:szCs w:val="18"/>
              </w:rPr>
            </w:pPr>
            <w:r>
              <w:rPr>
                <w:kern w:val="0"/>
                <w:sz w:val="18"/>
                <w:szCs w:val="18"/>
              </w:rPr>
              <w:t>期 初 数</w:t>
            </w:r>
          </w:p>
          <w:p>
            <w:pPr>
              <w:pStyle w:val="26"/>
              <w:widowControl/>
              <w:spacing w:line="280" w:lineRule="exact"/>
              <w:jc w:val="center"/>
              <w:textAlignment w:val="bottom"/>
              <w:rPr>
                <w:kern w:val="0"/>
                <w:sz w:val="18"/>
                <w:szCs w:val="18"/>
              </w:rPr>
            </w:pPr>
            <w:r>
              <w:rPr>
                <w:kern w:val="0"/>
                <w:sz w:val="18"/>
                <w:szCs w:val="18"/>
              </w:rPr>
              <w:t>Beginning Balance</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center"/>
              <w:textAlignment w:val="bottom"/>
              <w:rPr>
                <w:kern w:val="0"/>
                <w:sz w:val="18"/>
                <w:szCs w:val="18"/>
              </w:rPr>
            </w:pPr>
            <w:r>
              <w:rPr>
                <w:kern w:val="0"/>
                <w:sz w:val="18"/>
                <w:szCs w:val="18"/>
              </w:rPr>
              <w:t>期 末 数</w:t>
            </w:r>
          </w:p>
          <w:p>
            <w:pPr>
              <w:pStyle w:val="26"/>
              <w:widowControl/>
              <w:spacing w:line="280" w:lineRule="exact"/>
              <w:jc w:val="center"/>
              <w:textAlignment w:val="bottom"/>
              <w:rPr>
                <w:kern w:val="0"/>
                <w:sz w:val="18"/>
                <w:szCs w:val="18"/>
              </w:rPr>
            </w:pPr>
            <w:r>
              <w:rPr>
                <w:kern w:val="0"/>
                <w:sz w:val="18"/>
                <w:szCs w:val="18"/>
              </w:rPr>
              <w:t>Ending Balance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一、项目支出合计 </w:t>
            </w:r>
          </w:p>
          <w:p>
            <w:pPr>
              <w:pStyle w:val="26"/>
              <w:widowControl/>
              <w:spacing w:line="280" w:lineRule="exact"/>
              <w:textAlignment w:val="bottom"/>
              <w:rPr>
                <w:kern w:val="0"/>
                <w:sz w:val="18"/>
                <w:szCs w:val="18"/>
              </w:rPr>
            </w:pPr>
            <w:r>
              <w:rPr>
                <w:rFonts w:ascii="Times New Roman" w:hAnsi="Times New Roman" w:cs="Times New Roman"/>
                <w:snapToGrid w:val="0"/>
                <w:kern w:val="0"/>
                <w:sz w:val="18"/>
                <w:szCs w:val="18"/>
                <w:highlight w:val="none"/>
                <w:lang w:val="en-US" w:eastAsia="zh-CN" w:bidi="ar-SA"/>
              </w:rPr>
              <w:t xml:space="preserve">Total Project Expenditures </w:t>
            </w:r>
          </w:p>
        </w:tc>
        <w:tc>
          <w:tcPr>
            <w:tcW w:w="1553" w:type="dxa"/>
            <w:tcBorders>
              <w:top w:val="single" w:color="auto" w:sz="4" w:space="0"/>
              <w:left w:val="nil"/>
              <w:bottom w:val="single" w:color="auto" w:sz="4" w:space="0"/>
              <w:right w:val="single" w:color="auto" w:sz="4" w:space="0"/>
            </w:tcBorders>
            <w:vAlign w:val="center"/>
          </w:tcPr>
          <w:p>
            <w:pPr>
              <w:widowControl/>
              <w:jc w:val="right"/>
              <w:textAlignment w:val="bottom"/>
              <w:rPr>
                <w:kern w:val="0"/>
                <w:sz w:val="18"/>
                <w:szCs w:val="18"/>
              </w:rPr>
            </w:pPr>
            <w:r>
              <w:rPr>
                <w:kern w:val="0"/>
                <w:sz w:val="18"/>
                <w:szCs w:val="18"/>
              </w:rPr>
              <w:t>112,285,332.54</w:t>
            </w:r>
          </w:p>
        </w:tc>
        <w:tc>
          <w:tcPr>
            <w:tcW w:w="1721" w:type="dxa"/>
            <w:tcBorders>
              <w:top w:val="single" w:color="auto" w:sz="4" w:space="0"/>
              <w:left w:val="nil"/>
              <w:bottom w:val="single" w:color="auto" w:sz="4" w:space="0"/>
              <w:right w:val="single" w:color="auto" w:sz="4" w:space="0"/>
            </w:tcBorders>
            <w:vAlign w:val="center"/>
          </w:tcPr>
          <w:p>
            <w:pPr>
              <w:widowControl/>
              <w:jc w:val="right"/>
              <w:textAlignment w:val="bottom"/>
              <w:rPr>
                <w:kern w:val="0"/>
                <w:sz w:val="18"/>
                <w:szCs w:val="18"/>
              </w:rPr>
            </w:pPr>
            <w:r>
              <w:rPr>
                <w:kern w:val="0"/>
                <w:sz w:val="18"/>
                <w:szCs w:val="18"/>
              </w:rPr>
              <w:t>142,548,051.38</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一、项目拨款合计 </w:t>
            </w:r>
          </w:p>
          <w:p>
            <w:pPr>
              <w:pStyle w:val="26"/>
              <w:widowControl/>
              <w:spacing w:line="280" w:lineRule="exact"/>
              <w:textAlignment w:val="bottom"/>
              <w:rPr>
                <w:kern w:val="0"/>
                <w:sz w:val="18"/>
                <w:szCs w:val="18"/>
              </w:rPr>
            </w:pPr>
            <w:r>
              <w:rPr>
                <w:kern w:val="0"/>
                <w:sz w:val="18"/>
                <w:szCs w:val="18"/>
              </w:rPr>
              <w:t xml:space="preserve">Total Project Appropriation Funds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rFonts w:hint="eastAsia"/>
                <w:kern w:val="0"/>
                <w:sz w:val="18"/>
                <w:szCs w:val="18"/>
              </w:rPr>
              <w:t>105,236,583.18</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sz w:val="18"/>
                <w:szCs w:val="18"/>
              </w:rPr>
              <w:t>120,546,831.98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5"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1.交付使用资产 </w:t>
            </w:r>
          </w:p>
          <w:p>
            <w:pPr>
              <w:pStyle w:val="26"/>
              <w:widowControl/>
              <w:spacing w:line="280" w:lineRule="exact"/>
              <w:textAlignment w:val="bottom"/>
              <w:rPr>
                <w:kern w:val="0"/>
                <w:sz w:val="18"/>
                <w:szCs w:val="18"/>
              </w:rPr>
            </w:pPr>
            <w:r>
              <w:rPr>
                <w:kern w:val="0"/>
                <w:sz w:val="18"/>
                <w:szCs w:val="18"/>
              </w:rPr>
              <w:t xml:space="preserve"> Fixed</w:t>
            </w:r>
            <w:r>
              <w:rPr>
                <w:rFonts w:hint="eastAsia"/>
                <w:kern w:val="0"/>
                <w:sz w:val="18"/>
                <w:szCs w:val="18"/>
                <w:lang w:val="en-US" w:eastAsia="zh-CN"/>
              </w:rPr>
              <w:t xml:space="preserve"> </w:t>
            </w:r>
            <w:r>
              <w:rPr>
                <w:kern w:val="0"/>
                <w:sz w:val="18"/>
                <w:szCs w:val="18"/>
              </w:rPr>
              <w:t xml:space="preserve">Assets Transferred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其中：捐赠款 </w:t>
            </w:r>
          </w:p>
          <w:p>
            <w:pPr>
              <w:pStyle w:val="26"/>
              <w:widowControl/>
              <w:spacing w:line="280" w:lineRule="exact"/>
              <w:textAlignment w:val="bottom"/>
              <w:rPr>
                <w:kern w:val="0"/>
                <w:sz w:val="18"/>
                <w:szCs w:val="18"/>
              </w:rPr>
            </w:pPr>
            <w:r>
              <w:rPr>
                <w:kern w:val="0"/>
                <w:sz w:val="18"/>
                <w:szCs w:val="18"/>
              </w:rPr>
              <w:t xml:space="preserve">Including: Grants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2.在建工程 </w:t>
            </w:r>
          </w:p>
          <w:p>
            <w:pPr>
              <w:pStyle w:val="26"/>
              <w:widowControl/>
              <w:spacing w:line="280" w:lineRule="exact"/>
              <w:textAlignment w:val="bottom"/>
              <w:rPr>
                <w:kern w:val="0"/>
                <w:sz w:val="18"/>
                <w:szCs w:val="18"/>
              </w:rPr>
            </w:pPr>
            <w:r>
              <w:rPr>
                <w:kern w:val="0"/>
                <w:sz w:val="18"/>
                <w:szCs w:val="18"/>
              </w:rPr>
              <w:t xml:space="preserve">Projects under Construction </w:t>
            </w:r>
          </w:p>
        </w:tc>
        <w:tc>
          <w:tcPr>
            <w:tcW w:w="1553" w:type="dxa"/>
            <w:tcBorders>
              <w:top w:val="single" w:color="auto" w:sz="4" w:space="0"/>
              <w:left w:val="nil"/>
              <w:bottom w:val="single" w:color="auto" w:sz="4" w:space="0"/>
              <w:right w:val="single" w:color="auto" w:sz="4" w:space="0"/>
            </w:tcBorders>
            <w:vAlign w:val="center"/>
          </w:tcPr>
          <w:p>
            <w:pPr>
              <w:widowControl/>
              <w:jc w:val="right"/>
              <w:textAlignment w:val="bottom"/>
              <w:rPr>
                <w:kern w:val="0"/>
                <w:sz w:val="18"/>
                <w:szCs w:val="18"/>
              </w:rPr>
            </w:pPr>
            <w:r>
              <w:rPr>
                <w:kern w:val="0"/>
                <w:sz w:val="18"/>
                <w:szCs w:val="18"/>
              </w:rPr>
              <w:t>112,285,332.54</w:t>
            </w:r>
          </w:p>
        </w:tc>
        <w:tc>
          <w:tcPr>
            <w:tcW w:w="1721" w:type="dxa"/>
            <w:tcBorders>
              <w:top w:val="single" w:color="auto" w:sz="4" w:space="0"/>
              <w:left w:val="nil"/>
              <w:bottom w:val="single" w:color="auto" w:sz="4" w:space="0"/>
              <w:right w:val="single" w:color="auto" w:sz="4" w:space="0"/>
            </w:tcBorders>
            <w:vAlign w:val="center"/>
          </w:tcPr>
          <w:p>
            <w:pPr>
              <w:widowControl/>
              <w:jc w:val="right"/>
              <w:textAlignment w:val="bottom"/>
              <w:rPr>
                <w:kern w:val="0"/>
                <w:sz w:val="18"/>
                <w:szCs w:val="18"/>
              </w:rPr>
            </w:pPr>
            <w:r>
              <w:rPr>
                <w:kern w:val="0"/>
                <w:sz w:val="18"/>
                <w:szCs w:val="18"/>
              </w:rPr>
              <w:t>142,548,051.38</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二、联营拨款 </w:t>
            </w:r>
          </w:p>
          <w:p>
            <w:pPr>
              <w:pStyle w:val="26"/>
              <w:widowControl/>
              <w:spacing w:line="280" w:lineRule="exact"/>
              <w:textAlignment w:val="bottom"/>
              <w:rPr>
                <w:kern w:val="0"/>
                <w:sz w:val="18"/>
                <w:szCs w:val="18"/>
              </w:rPr>
            </w:pPr>
            <w:r>
              <w:rPr>
                <w:kern w:val="0"/>
                <w:sz w:val="18"/>
                <w:szCs w:val="18"/>
              </w:rPr>
              <w:t xml:space="preserve">Pool Appropriation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rFonts w:hint="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3.其他支出 </w:t>
            </w:r>
          </w:p>
          <w:p>
            <w:pPr>
              <w:pStyle w:val="26"/>
              <w:widowControl/>
              <w:spacing w:line="280" w:lineRule="exact"/>
              <w:textAlignment w:val="bottom"/>
              <w:rPr>
                <w:kern w:val="0"/>
                <w:sz w:val="18"/>
                <w:szCs w:val="18"/>
              </w:rPr>
            </w:pPr>
            <w:r>
              <w:rPr>
                <w:kern w:val="0"/>
                <w:sz w:val="18"/>
                <w:szCs w:val="18"/>
              </w:rPr>
              <w:t xml:space="preserve">Other Expenditures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三、项目借款合计 </w:t>
            </w:r>
          </w:p>
          <w:p>
            <w:pPr>
              <w:pStyle w:val="26"/>
              <w:widowControl/>
              <w:spacing w:line="280" w:lineRule="exact"/>
              <w:textAlignment w:val="bottom"/>
              <w:rPr>
                <w:kern w:val="0"/>
                <w:sz w:val="18"/>
                <w:szCs w:val="18"/>
              </w:rPr>
            </w:pPr>
            <w:r>
              <w:rPr>
                <w:kern w:val="0"/>
                <w:sz w:val="18"/>
                <w:szCs w:val="18"/>
              </w:rPr>
              <w:t xml:space="preserve">Total Project Loan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rFonts w:hint="eastAsia"/>
                <w:kern w:val="0"/>
                <w:sz w:val="18"/>
                <w:szCs w:val="18"/>
              </w:rPr>
              <w:t>32,624,500.00</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sz w:val="18"/>
                <w:szCs w:val="18"/>
              </w:rPr>
              <w:t>41,970,266.30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二、应收生产单位投资借款 </w:t>
            </w:r>
          </w:p>
          <w:p>
            <w:pPr>
              <w:pStyle w:val="26"/>
              <w:widowControl/>
              <w:spacing w:line="280" w:lineRule="exact"/>
              <w:textAlignment w:val="bottom"/>
              <w:rPr>
                <w:kern w:val="0"/>
                <w:sz w:val="18"/>
                <w:szCs w:val="18"/>
              </w:rPr>
            </w:pPr>
            <w:r>
              <w:rPr>
                <w:kern w:val="0"/>
                <w:sz w:val="18"/>
                <w:szCs w:val="18"/>
              </w:rPr>
              <w:t xml:space="preserve">Investment Loan Receivable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1.项目投资借款 </w:t>
            </w:r>
          </w:p>
          <w:p>
            <w:pPr>
              <w:pStyle w:val="26"/>
              <w:widowControl/>
              <w:spacing w:line="280" w:lineRule="exact"/>
              <w:textAlignment w:val="bottom"/>
              <w:rPr>
                <w:kern w:val="0"/>
                <w:sz w:val="18"/>
                <w:szCs w:val="18"/>
              </w:rPr>
            </w:pPr>
            <w:r>
              <w:rPr>
                <w:kern w:val="0"/>
                <w:sz w:val="18"/>
                <w:szCs w:val="18"/>
              </w:rPr>
              <w:t xml:space="preserve">Project Investment Loan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rFonts w:hint="eastAsia"/>
                <w:kern w:val="0"/>
                <w:sz w:val="18"/>
                <w:szCs w:val="18"/>
              </w:rPr>
              <w:t>32,624,500.00</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sz w:val="18"/>
                <w:szCs w:val="18"/>
              </w:rPr>
              <w:t>41,970,266.30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其中：应收生产单位亚洲开发银行贷款 </w:t>
            </w:r>
          </w:p>
          <w:p>
            <w:pPr>
              <w:pStyle w:val="26"/>
              <w:widowControl/>
              <w:spacing w:line="280" w:lineRule="exact"/>
              <w:textAlignment w:val="bottom"/>
              <w:rPr>
                <w:kern w:val="0"/>
                <w:sz w:val="18"/>
                <w:szCs w:val="18"/>
              </w:rPr>
            </w:pPr>
            <w:r>
              <w:rPr>
                <w:kern w:val="0"/>
                <w:sz w:val="18"/>
                <w:szCs w:val="18"/>
              </w:rPr>
              <w:t xml:space="preserve">Including: ADB Loan Receivable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(1)国外借款 </w:t>
            </w:r>
          </w:p>
          <w:p>
            <w:pPr>
              <w:pStyle w:val="26"/>
              <w:widowControl/>
              <w:spacing w:line="280" w:lineRule="exact"/>
              <w:textAlignment w:val="bottom"/>
              <w:rPr>
                <w:kern w:val="0"/>
                <w:sz w:val="18"/>
                <w:szCs w:val="18"/>
              </w:rPr>
            </w:pPr>
            <w:r>
              <w:rPr>
                <w:kern w:val="0"/>
                <w:sz w:val="18"/>
                <w:szCs w:val="18"/>
              </w:rPr>
              <w:t xml:space="preserve"> Foreign Loan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rFonts w:hint="eastAsia"/>
                <w:kern w:val="0"/>
                <w:sz w:val="18"/>
                <w:szCs w:val="18"/>
              </w:rPr>
              <w:t>32,624,500.00</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sz w:val="18"/>
                <w:szCs w:val="18"/>
              </w:rPr>
              <w:t>41,970,266.30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8"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三、拨付所属投资借款 </w:t>
            </w:r>
          </w:p>
          <w:p>
            <w:pPr>
              <w:pStyle w:val="26"/>
              <w:widowControl/>
              <w:spacing w:line="280" w:lineRule="exact"/>
              <w:textAlignment w:val="bottom"/>
              <w:rPr>
                <w:kern w:val="0"/>
                <w:sz w:val="18"/>
                <w:szCs w:val="18"/>
              </w:rPr>
            </w:pPr>
            <w:r>
              <w:rPr>
                <w:kern w:val="0"/>
                <w:sz w:val="18"/>
                <w:szCs w:val="18"/>
              </w:rPr>
              <w:t>Appropriation</w:t>
            </w:r>
          </w:p>
          <w:p>
            <w:pPr>
              <w:pStyle w:val="26"/>
              <w:widowControl/>
              <w:spacing w:line="280" w:lineRule="exact"/>
              <w:textAlignment w:val="bottom"/>
              <w:rPr>
                <w:kern w:val="0"/>
                <w:sz w:val="18"/>
                <w:szCs w:val="18"/>
              </w:rPr>
            </w:pPr>
            <w:r>
              <w:rPr>
                <w:kern w:val="0"/>
                <w:sz w:val="18"/>
                <w:szCs w:val="18"/>
              </w:rPr>
              <w:t xml:space="preserve"> of Investment Loan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其中：亚洲开发银行 </w:t>
            </w:r>
          </w:p>
          <w:p>
            <w:pPr>
              <w:pStyle w:val="26"/>
              <w:widowControl/>
              <w:spacing w:line="280" w:lineRule="exact"/>
              <w:textAlignment w:val="bottom"/>
              <w:rPr>
                <w:kern w:val="0"/>
                <w:sz w:val="18"/>
                <w:szCs w:val="18"/>
              </w:rPr>
            </w:pPr>
            <w:r>
              <w:rPr>
                <w:kern w:val="0"/>
                <w:sz w:val="18"/>
                <w:szCs w:val="18"/>
              </w:rPr>
              <w:t xml:space="preserve">Including: ADB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rFonts w:hint="eastAsia"/>
                <w:kern w:val="0"/>
                <w:sz w:val="18"/>
                <w:szCs w:val="18"/>
              </w:rPr>
              <w:t>32,624,500.00</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sz w:val="18"/>
                <w:szCs w:val="18"/>
              </w:rPr>
              <w:t>41,970,266.30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其中：拨付</w:t>
            </w:r>
            <w:r>
              <w:rPr>
                <w:rFonts w:hint="eastAsia"/>
                <w:kern w:val="0"/>
                <w:sz w:val="18"/>
                <w:szCs w:val="18"/>
                <w:lang w:eastAsia="zh-CN"/>
              </w:rPr>
              <w:t>亚行</w:t>
            </w:r>
            <w:r>
              <w:rPr>
                <w:kern w:val="0"/>
                <w:sz w:val="18"/>
                <w:szCs w:val="18"/>
              </w:rPr>
              <w:t xml:space="preserve">贷款 </w:t>
            </w:r>
          </w:p>
          <w:p>
            <w:pPr>
              <w:pStyle w:val="26"/>
              <w:widowControl/>
              <w:spacing w:line="280" w:lineRule="exact"/>
              <w:textAlignment w:val="bottom"/>
              <w:rPr>
                <w:kern w:val="0"/>
                <w:sz w:val="18"/>
                <w:szCs w:val="18"/>
              </w:rPr>
            </w:pPr>
            <w:r>
              <w:rPr>
                <w:kern w:val="0"/>
                <w:sz w:val="18"/>
                <w:szCs w:val="18"/>
              </w:rPr>
              <w:t>Including: Appropriation</w:t>
            </w:r>
          </w:p>
          <w:p>
            <w:pPr>
              <w:pStyle w:val="26"/>
              <w:widowControl/>
              <w:spacing w:line="280" w:lineRule="exact"/>
              <w:textAlignment w:val="bottom"/>
              <w:rPr>
                <w:kern w:val="0"/>
                <w:sz w:val="18"/>
                <w:szCs w:val="18"/>
              </w:rPr>
            </w:pPr>
            <w:r>
              <w:rPr>
                <w:kern w:val="0"/>
                <w:sz w:val="18"/>
                <w:szCs w:val="18"/>
              </w:rPr>
              <w:t xml:space="preserve"> of ADB Loan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技术合作信贷 </w:t>
            </w:r>
          </w:p>
          <w:p>
            <w:pPr>
              <w:pStyle w:val="26"/>
              <w:widowControl/>
              <w:spacing w:line="280" w:lineRule="exact"/>
              <w:textAlignment w:val="bottom"/>
              <w:rPr>
                <w:kern w:val="0"/>
                <w:sz w:val="18"/>
                <w:szCs w:val="18"/>
              </w:rPr>
            </w:pPr>
            <w:r>
              <w:rPr>
                <w:kern w:val="0"/>
                <w:sz w:val="18"/>
                <w:szCs w:val="18"/>
              </w:rPr>
              <w:t xml:space="preserve">Technical Cooperation Credit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四、器材 </w:t>
            </w:r>
          </w:p>
          <w:p>
            <w:pPr>
              <w:pStyle w:val="26"/>
              <w:widowControl/>
              <w:spacing w:line="280" w:lineRule="exact"/>
              <w:textAlignment w:val="bottom"/>
              <w:rPr>
                <w:kern w:val="0"/>
                <w:sz w:val="18"/>
                <w:szCs w:val="18"/>
              </w:rPr>
            </w:pPr>
            <w:r>
              <w:rPr>
                <w:kern w:val="0"/>
                <w:sz w:val="18"/>
                <w:szCs w:val="18"/>
              </w:rPr>
              <w:t xml:space="preserve">Equipment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联合融资 </w:t>
            </w:r>
          </w:p>
          <w:p>
            <w:pPr>
              <w:pStyle w:val="26"/>
              <w:widowControl/>
              <w:spacing w:line="280" w:lineRule="exact"/>
              <w:textAlignment w:val="bottom"/>
              <w:rPr>
                <w:kern w:val="0"/>
                <w:sz w:val="18"/>
                <w:szCs w:val="18"/>
              </w:rPr>
            </w:pPr>
            <w:r>
              <w:rPr>
                <w:kern w:val="0"/>
                <w:sz w:val="18"/>
                <w:szCs w:val="18"/>
              </w:rPr>
              <w:t xml:space="preserve">Co-Financing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其中：待处理器材损溢 </w:t>
            </w:r>
          </w:p>
          <w:p>
            <w:pPr>
              <w:pStyle w:val="26"/>
              <w:widowControl/>
              <w:spacing w:line="280" w:lineRule="exact"/>
              <w:textAlignment w:val="bottom"/>
              <w:rPr>
                <w:kern w:val="0"/>
                <w:sz w:val="18"/>
                <w:szCs w:val="18"/>
              </w:rPr>
            </w:pPr>
            <w:r>
              <w:rPr>
                <w:kern w:val="0"/>
                <w:sz w:val="18"/>
                <w:szCs w:val="18"/>
              </w:rPr>
              <w:t xml:space="preserve">Including: Equipment Losses in Suspense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其他</w:t>
            </w:r>
          </w:p>
          <w:p>
            <w:pPr>
              <w:pStyle w:val="26"/>
              <w:widowControl/>
              <w:spacing w:line="280" w:lineRule="exact"/>
              <w:textAlignment w:val="bottom"/>
              <w:rPr>
                <w:kern w:val="0"/>
                <w:sz w:val="18"/>
                <w:szCs w:val="18"/>
              </w:rPr>
            </w:pPr>
            <w:r>
              <w:rPr>
                <w:kern w:val="0"/>
                <w:sz w:val="18"/>
                <w:szCs w:val="18"/>
              </w:rPr>
              <w:t xml:space="preserve">Others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五、货币资金合计  Total Cash and Bank </w:t>
            </w:r>
          </w:p>
        </w:tc>
        <w:tc>
          <w:tcPr>
            <w:tcW w:w="1553" w:type="dxa"/>
            <w:tcBorders>
              <w:top w:val="single" w:color="auto" w:sz="4" w:space="0"/>
              <w:left w:val="nil"/>
              <w:bottom w:val="single" w:color="auto" w:sz="4" w:space="0"/>
              <w:right w:val="single" w:color="auto" w:sz="4" w:space="0"/>
            </w:tcBorders>
            <w:vAlign w:val="center"/>
          </w:tcPr>
          <w:p>
            <w:pPr>
              <w:widowControl/>
              <w:jc w:val="center"/>
              <w:textAlignment w:val="bottom"/>
              <w:rPr>
                <w:kern w:val="0"/>
                <w:sz w:val="18"/>
                <w:szCs w:val="18"/>
              </w:rPr>
            </w:pPr>
            <w:r>
              <w:rPr>
                <w:kern w:val="0"/>
                <w:sz w:val="18"/>
                <w:szCs w:val="18"/>
              </w:rPr>
              <w:t>31,633,284.50</w:t>
            </w:r>
          </w:p>
        </w:tc>
        <w:tc>
          <w:tcPr>
            <w:tcW w:w="1721" w:type="dxa"/>
            <w:tcBorders>
              <w:top w:val="single" w:color="auto" w:sz="4" w:space="0"/>
              <w:left w:val="nil"/>
              <w:bottom w:val="single" w:color="auto" w:sz="4" w:space="0"/>
              <w:right w:val="single" w:color="auto" w:sz="4" w:space="0"/>
            </w:tcBorders>
            <w:vAlign w:val="center"/>
          </w:tcPr>
          <w:p>
            <w:pPr>
              <w:widowControl/>
              <w:jc w:val="center"/>
              <w:textAlignment w:val="bottom"/>
              <w:rPr>
                <w:kern w:val="0"/>
                <w:sz w:val="18"/>
                <w:szCs w:val="18"/>
              </w:rPr>
            </w:pPr>
            <w:r>
              <w:rPr>
                <w:kern w:val="0"/>
                <w:sz w:val="18"/>
                <w:szCs w:val="18"/>
              </w:rPr>
              <w:t>26,119,044.89</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(2)国内借款 </w:t>
            </w:r>
          </w:p>
          <w:p>
            <w:pPr>
              <w:pStyle w:val="26"/>
              <w:widowControl/>
              <w:spacing w:line="280" w:lineRule="exact"/>
              <w:textAlignment w:val="bottom"/>
              <w:rPr>
                <w:kern w:val="0"/>
                <w:sz w:val="18"/>
                <w:szCs w:val="18"/>
              </w:rPr>
            </w:pPr>
            <w:r>
              <w:rPr>
                <w:kern w:val="0"/>
                <w:sz w:val="18"/>
                <w:szCs w:val="18"/>
              </w:rPr>
              <w:t xml:space="preserve"> Domestic Loan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1.银行存款 </w:t>
            </w:r>
          </w:p>
          <w:p>
            <w:pPr>
              <w:pStyle w:val="26"/>
              <w:widowControl/>
              <w:spacing w:line="280" w:lineRule="exact"/>
              <w:textAlignment w:val="bottom"/>
              <w:rPr>
                <w:kern w:val="0"/>
                <w:sz w:val="18"/>
                <w:szCs w:val="18"/>
              </w:rPr>
            </w:pPr>
            <w:r>
              <w:rPr>
                <w:kern w:val="0"/>
                <w:sz w:val="18"/>
                <w:szCs w:val="18"/>
              </w:rPr>
              <w:t xml:space="preserve">Bank Deposits </w:t>
            </w:r>
          </w:p>
        </w:tc>
        <w:tc>
          <w:tcPr>
            <w:tcW w:w="1553" w:type="dxa"/>
            <w:tcBorders>
              <w:top w:val="single" w:color="auto" w:sz="4" w:space="0"/>
              <w:left w:val="nil"/>
              <w:bottom w:val="single" w:color="auto" w:sz="4" w:space="0"/>
              <w:right w:val="single" w:color="auto" w:sz="4" w:space="0"/>
            </w:tcBorders>
            <w:vAlign w:val="center"/>
          </w:tcPr>
          <w:p>
            <w:pPr>
              <w:widowControl/>
              <w:jc w:val="center"/>
              <w:textAlignment w:val="bottom"/>
              <w:rPr>
                <w:kern w:val="0"/>
                <w:sz w:val="18"/>
                <w:szCs w:val="18"/>
              </w:rPr>
            </w:pPr>
            <w:r>
              <w:rPr>
                <w:kern w:val="0"/>
                <w:sz w:val="18"/>
                <w:szCs w:val="18"/>
              </w:rPr>
              <w:t>31,633,284.50</w:t>
            </w:r>
          </w:p>
        </w:tc>
        <w:tc>
          <w:tcPr>
            <w:tcW w:w="1721" w:type="dxa"/>
            <w:tcBorders>
              <w:top w:val="single" w:color="auto" w:sz="4" w:space="0"/>
              <w:left w:val="nil"/>
              <w:bottom w:val="single" w:color="auto" w:sz="4" w:space="0"/>
              <w:right w:val="single" w:color="auto" w:sz="4" w:space="0"/>
            </w:tcBorders>
            <w:vAlign w:val="center"/>
          </w:tcPr>
          <w:p>
            <w:pPr>
              <w:widowControl/>
              <w:jc w:val="center"/>
              <w:textAlignment w:val="bottom"/>
              <w:rPr>
                <w:kern w:val="0"/>
                <w:sz w:val="18"/>
                <w:szCs w:val="18"/>
              </w:rPr>
            </w:pPr>
            <w:r>
              <w:rPr>
                <w:kern w:val="0"/>
                <w:sz w:val="18"/>
                <w:szCs w:val="18"/>
              </w:rPr>
              <w:t>26,119,044.89</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2.其他借款 </w:t>
            </w:r>
          </w:p>
          <w:p>
            <w:pPr>
              <w:pStyle w:val="26"/>
              <w:widowControl/>
              <w:spacing w:line="280" w:lineRule="exact"/>
              <w:textAlignment w:val="bottom"/>
              <w:rPr>
                <w:kern w:val="0"/>
                <w:sz w:val="18"/>
                <w:szCs w:val="18"/>
              </w:rPr>
            </w:pPr>
            <w:r>
              <w:rPr>
                <w:kern w:val="0"/>
                <w:sz w:val="18"/>
                <w:szCs w:val="18"/>
              </w:rPr>
              <w:t xml:space="preserve"> Other Loan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其中：专用账户存款  </w:t>
            </w:r>
          </w:p>
          <w:p>
            <w:pPr>
              <w:pStyle w:val="26"/>
              <w:widowControl/>
              <w:spacing w:line="280" w:lineRule="exact"/>
              <w:textAlignment w:val="bottom"/>
              <w:rPr>
                <w:kern w:val="0"/>
                <w:sz w:val="18"/>
                <w:szCs w:val="18"/>
              </w:rPr>
            </w:pPr>
            <w:r>
              <w:rPr>
                <w:kern w:val="0"/>
                <w:sz w:val="18"/>
                <w:szCs w:val="18"/>
              </w:rPr>
              <w:t xml:space="preserve">Including: Special Account </w:t>
            </w:r>
          </w:p>
        </w:tc>
        <w:tc>
          <w:tcPr>
            <w:tcW w:w="1553" w:type="dxa"/>
            <w:tcBorders>
              <w:top w:val="single" w:color="auto" w:sz="4" w:space="0"/>
              <w:left w:val="nil"/>
              <w:bottom w:val="single" w:color="auto" w:sz="4" w:space="0"/>
              <w:right w:val="single" w:color="auto" w:sz="4" w:space="0"/>
            </w:tcBorders>
            <w:vAlign w:val="center"/>
          </w:tcPr>
          <w:p>
            <w:pPr>
              <w:widowControl/>
              <w:jc w:val="center"/>
              <w:textAlignment w:val="bottom"/>
              <w:rPr>
                <w:kern w:val="0"/>
                <w:sz w:val="18"/>
                <w:szCs w:val="18"/>
              </w:rPr>
            </w:pPr>
            <w:r>
              <w:rPr>
                <w:kern w:val="0"/>
                <w:sz w:val="18"/>
                <w:szCs w:val="18"/>
              </w:rPr>
              <w:t>31,633,284.50</w:t>
            </w:r>
          </w:p>
        </w:tc>
        <w:tc>
          <w:tcPr>
            <w:tcW w:w="1721" w:type="dxa"/>
            <w:tcBorders>
              <w:top w:val="single" w:color="auto" w:sz="4" w:space="0"/>
              <w:left w:val="nil"/>
              <w:bottom w:val="single" w:color="auto" w:sz="4" w:space="0"/>
              <w:right w:val="single" w:color="auto" w:sz="4" w:space="0"/>
            </w:tcBorders>
            <w:vAlign w:val="center"/>
          </w:tcPr>
          <w:p>
            <w:pPr>
              <w:widowControl/>
              <w:jc w:val="center"/>
              <w:textAlignment w:val="bottom"/>
              <w:rPr>
                <w:kern w:val="0"/>
                <w:sz w:val="18"/>
                <w:szCs w:val="18"/>
              </w:rPr>
            </w:pPr>
            <w:r>
              <w:rPr>
                <w:kern w:val="0"/>
                <w:sz w:val="18"/>
                <w:szCs w:val="18"/>
              </w:rPr>
              <w:t>13,004,515.55</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四、上级拨入投资借款 </w:t>
            </w:r>
          </w:p>
          <w:p>
            <w:pPr>
              <w:pStyle w:val="26"/>
              <w:widowControl/>
              <w:spacing w:line="280" w:lineRule="exact"/>
              <w:textAlignment w:val="bottom"/>
              <w:rPr>
                <w:kern w:val="0"/>
                <w:sz w:val="18"/>
                <w:szCs w:val="18"/>
              </w:rPr>
            </w:pPr>
            <w:r>
              <w:rPr>
                <w:kern w:val="0"/>
                <w:sz w:val="18"/>
                <w:szCs w:val="18"/>
              </w:rPr>
              <w:t xml:space="preserve">Appropriation of Investment Loan from the Superior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2.库存现金 </w:t>
            </w:r>
          </w:p>
          <w:p>
            <w:pPr>
              <w:pStyle w:val="26"/>
              <w:widowControl/>
              <w:spacing w:line="280" w:lineRule="exact"/>
              <w:textAlignment w:val="bottom"/>
              <w:rPr>
                <w:kern w:val="0"/>
                <w:sz w:val="18"/>
                <w:szCs w:val="18"/>
              </w:rPr>
            </w:pPr>
            <w:r>
              <w:rPr>
                <w:kern w:val="0"/>
                <w:sz w:val="18"/>
                <w:szCs w:val="18"/>
              </w:rPr>
              <w:t xml:space="preserve"> Cash on Hand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rFonts w:hint="eastAsia"/>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其中：拨入亚行贷款</w:t>
            </w:r>
          </w:p>
          <w:p>
            <w:pPr>
              <w:pStyle w:val="26"/>
              <w:widowControl/>
              <w:spacing w:line="280" w:lineRule="exact"/>
              <w:textAlignment w:val="bottom"/>
              <w:rPr>
                <w:kern w:val="0"/>
                <w:sz w:val="18"/>
                <w:szCs w:val="18"/>
              </w:rPr>
            </w:pPr>
            <w:r>
              <w:rPr>
                <w:kern w:val="0"/>
                <w:sz w:val="18"/>
                <w:szCs w:val="18"/>
              </w:rPr>
              <w:t xml:space="preserve">Including: Appropriation of ADB Loan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3.财政应返还额度 </w:t>
            </w:r>
          </w:p>
          <w:p>
            <w:pPr>
              <w:pStyle w:val="26"/>
              <w:widowControl/>
              <w:spacing w:line="280" w:lineRule="exact"/>
              <w:textAlignment w:val="bottom"/>
              <w:rPr>
                <w:kern w:val="0"/>
                <w:sz w:val="18"/>
                <w:szCs w:val="18"/>
              </w:rPr>
            </w:pPr>
            <w:r>
              <w:rPr>
                <w:kern w:val="0"/>
                <w:sz w:val="18"/>
                <w:szCs w:val="18"/>
              </w:rPr>
              <w:t xml:space="preserve">Financial Refundable Amount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五、企业债券资金 </w:t>
            </w:r>
          </w:p>
          <w:p>
            <w:pPr>
              <w:pStyle w:val="26"/>
              <w:widowControl/>
              <w:spacing w:line="280" w:lineRule="exact"/>
              <w:textAlignment w:val="bottom"/>
              <w:rPr>
                <w:kern w:val="0"/>
                <w:sz w:val="18"/>
                <w:szCs w:val="18"/>
              </w:rPr>
            </w:pPr>
            <w:r>
              <w:rPr>
                <w:kern w:val="0"/>
                <w:sz w:val="18"/>
                <w:szCs w:val="18"/>
              </w:rPr>
              <w:t xml:space="preserve"> Corporate Bond Fund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六、预付及应收款合计 </w:t>
            </w:r>
          </w:p>
          <w:p>
            <w:pPr>
              <w:pStyle w:val="26"/>
              <w:widowControl/>
              <w:spacing w:line="280" w:lineRule="exact"/>
              <w:textAlignment w:val="bottom"/>
              <w:rPr>
                <w:kern w:val="0"/>
                <w:sz w:val="18"/>
                <w:szCs w:val="18"/>
              </w:rPr>
            </w:pPr>
            <w:r>
              <w:rPr>
                <w:kern w:val="0"/>
                <w:sz w:val="18"/>
                <w:szCs w:val="18"/>
              </w:rPr>
              <w:t xml:space="preserve">Total Prepaid and Receivable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widowControl/>
              <w:spacing w:line="280" w:lineRule="exact"/>
              <w:jc w:val="center"/>
              <w:textAlignment w:val="center"/>
              <w:rPr>
                <w:kern w:val="0"/>
                <w:sz w:val="18"/>
                <w:szCs w:val="18"/>
              </w:rPr>
            </w:pPr>
            <w:r>
              <w:rPr>
                <w:rFonts w:hint="eastAsia"/>
                <w:kern w:val="0"/>
                <w:sz w:val="18"/>
                <w:szCs w:val="18"/>
              </w:rPr>
              <w:t>4,890,202.24</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六、待冲基建支出 </w:t>
            </w:r>
          </w:p>
          <w:p>
            <w:pPr>
              <w:pStyle w:val="26"/>
              <w:widowControl/>
              <w:spacing w:line="280" w:lineRule="exact"/>
              <w:textAlignment w:val="bottom"/>
              <w:rPr>
                <w:kern w:val="0"/>
                <w:sz w:val="18"/>
                <w:szCs w:val="18"/>
              </w:rPr>
            </w:pPr>
            <w:r>
              <w:rPr>
                <w:kern w:val="0"/>
                <w:sz w:val="18"/>
                <w:szCs w:val="18"/>
              </w:rPr>
              <w:t xml:space="preserve">Infrastructure Expenditures to be Offset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七、有价证券 </w:t>
            </w:r>
          </w:p>
          <w:p>
            <w:pPr>
              <w:pStyle w:val="26"/>
              <w:widowControl/>
              <w:spacing w:line="280" w:lineRule="exact"/>
              <w:textAlignment w:val="bottom"/>
              <w:rPr>
                <w:kern w:val="0"/>
                <w:sz w:val="18"/>
                <w:szCs w:val="18"/>
              </w:rPr>
            </w:pPr>
            <w:r>
              <w:rPr>
                <w:kern w:val="0"/>
                <w:sz w:val="18"/>
                <w:szCs w:val="18"/>
              </w:rPr>
              <w:t xml:space="preserve">Marketable Securities </w:t>
            </w:r>
          </w:p>
        </w:tc>
        <w:tc>
          <w:tcPr>
            <w:tcW w:w="1553"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七、应付款合计 </w:t>
            </w:r>
          </w:p>
          <w:p>
            <w:pPr>
              <w:pStyle w:val="26"/>
              <w:widowControl/>
              <w:spacing w:line="280" w:lineRule="exact"/>
              <w:textAlignment w:val="bottom"/>
              <w:rPr>
                <w:kern w:val="0"/>
                <w:sz w:val="18"/>
                <w:szCs w:val="18"/>
              </w:rPr>
            </w:pPr>
            <w:r>
              <w:rPr>
                <w:kern w:val="0"/>
                <w:sz w:val="18"/>
                <w:szCs w:val="18"/>
              </w:rPr>
              <w:t xml:space="preserve">Total Payables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rFonts w:hint="eastAsia"/>
                <w:sz w:val="18"/>
                <w:szCs w:val="18"/>
              </w:rPr>
              <w:t>6,056,956.08</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sz w:val="18"/>
                <w:szCs w:val="18"/>
              </w:rPr>
              <w:t>11,036,832.33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八、固定资产合计 </w:t>
            </w:r>
          </w:p>
          <w:p>
            <w:pPr>
              <w:pStyle w:val="26"/>
              <w:widowControl/>
              <w:spacing w:line="280" w:lineRule="exact"/>
              <w:textAlignment w:val="bottom"/>
              <w:rPr>
                <w:kern w:val="0"/>
                <w:sz w:val="18"/>
                <w:szCs w:val="18"/>
              </w:rPr>
            </w:pPr>
            <w:r>
              <w:rPr>
                <w:kern w:val="0"/>
                <w:sz w:val="18"/>
                <w:szCs w:val="18"/>
              </w:rPr>
              <w:t xml:space="preserve">Total Fixed Assets </w:t>
            </w:r>
          </w:p>
        </w:tc>
        <w:tc>
          <w:tcPr>
            <w:tcW w:w="1553"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八、未交款合计 </w:t>
            </w:r>
          </w:p>
          <w:p>
            <w:pPr>
              <w:pStyle w:val="26"/>
              <w:widowControl/>
              <w:spacing w:line="280" w:lineRule="exact"/>
              <w:textAlignment w:val="bottom"/>
              <w:rPr>
                <w:kern w:val="0"/>
                <w:sz w:val="18"/>
                <w:szCs w:val="18"/>
              </w:rPr>
            </w:pPr>
            <w:r>
              <w:rPr>
                <w:kern w:val="0"/>
                <w:sz w:val="18"/>
                <w:szCs w:val="18"/>
              </w:rPr>
              <w:t xml:space="preserve">Total Other Payables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固定资产原价 </w:t>
            </w:r>
          </w:p>
          <w:p>
            <w:pPr>
              <w:pStyle w:val="26"/>
              <w:widowControl/>
              <w:spacing w:line="280" w:lineRule="exact"/>
              <w:textAlignment w:val="bottom"/>
              <w:rPr>
                <w:kern w:val="0"/>
                <w:sz w:val="18"/>
                <w:szCs w:val="18"/>
              </w:rPr>
            </w:pPr>
            <w:r>
              <w:rPr>
                <w:kern w:val="0"/>
                <w:sz w:val="18"/>
                <w:szCs w:val="18"/>
              </w:rPr>
              <w:t xml:space="preserve">Fixed Assets, Cost </w:t>
            </w:r>
          </w:p>
        </w:tc>
        <w:tc>
          <w:tcPr>
            <w:tcW w:w="1553"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九、上级拨入资金 </w:t>
            </w:r>
          </w:p>
          <w:p>
            <w:pPr>
              <w:pStyle w:val="26"/>
              <w:widowControl/>
              <w:spacing w:line="280" w:lineRule="exact"/>
              <w:textAlignment w:val="bottom"/>
              <w:rPr>
                <w:kern w:val="0"/>
                <w:sz w:val="18"/>
                <w:szCs w:val="18"/>
              </w:rPr>
            </w:pPr>
            <w:r>
              <w:rPr>
                <w:kern w:val="0"/>
                <w:sz w:val="18"/>
                <w:szCs w:val="18"/>
              </w:rPr>
              <w:t xml:space="preserve">Appropriation of Fund from the Superior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减：累计折旧 </w:t>
            </w:r>
          </w:p>
          <w:p>
            <w:pPr>
              <w:pStyle w:val="26"/>
              <w:widowControl/>
              <w:spacing w:line="280" w:lineRule="exact"/>
              <w:textAlignment w:val="bottom"/>
              <w:rPr>
                <w:kern w:val="0"/>
                <w:sz w:val="18"/>
                <w:szCs w:val="18"/>
              </w:rPr>
            </w:pPr>
            <w:r>
              <w:rPr>
                <w:kern w:val="0"/>
                <w:sz w:val="18"/>
                <w:szCs w:val="18"/>
              </w:rPr>
              <w:t xml:space="preserve">Less: Accumulated Depreciation </w:t>
            </w:r>
          </w:p>
        </w:tc>
        <w:tc>
          <w:tcPr>
            <w:tcW w:w="1553"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十、留成收入 </w:t>
            </w:r>
          </w:p>
          <w:p>
            <w:pPr>
              <w:pStyle w:val="26"/>
              <w:widowControl/>
              <w:spacing w:line="280" w:lineRule="exact"/>
              <w:textAlignment w:val="bottom"/>
              <w:rPr>
                <w:kern w:val="0"/>
                <w:sz w:val="18"/>
                <w:szCs w:val="18"/>
              </w:rPr>
            </w:pPr>
            <w:r>
              <w:rPr>
                <w:kern w:val="0"/>
                <w:sz w:val="18"/>
                <w:szCs w:val="18"/>
              </w:rPr>
              <w:t xml:space="preserve">Retained Earnings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rFonts w:hint="eastAsia"/>
                <w:kern w:val="0"/>
                <w:sz w:val="18"/>
                <w:szCs w:val="18"/>
              </w:rPr>
              <w:t>577.78</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center"/>
              <w:rPr>
                <w:kern w:val="0"/>
                <w:sz w:val="18"/>
                <w:szCs w:val="18"/>
              </w:rPr>
            </w:pPr>
            <w:r>
              <w:rPr>
                <w:rFonts w:hint="eastAsia"/>
                <w:kern w:val="0"/>
                <w:sz w:val="18"/>
                <w:szCs w:val="18"/>
              </w:rPr>
              <w:t>3,367.90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固定资产净值 </w:t>
            </w:r>
          </w:p>
          <w:p>
            <w:pPr>
              <w:pStyle w:val="26"/>
              <w:widowControl/>
              <w:spacing w:line="280" w:lineRule="exact"/>
              <w:textAlignment w:val="bottom"/>
              <w:rPr>
                <w:kern w:val="0"/>
                <w:sz w:val="18"/>
                <w:szCs w:val="18"/>
              </w:rPr>
            </w:pPr>
            <w:r>
              <w:rPr>
                <w:kern w:val="0"/>
                <w:sz w:val="18"/>
                <w:szCs w:val="18"/>
              </w:rPr>
              <w:t xml:space="preserve">Fixed Assets, Net </w:t>
            </w:r>
          </w:p>
        </w:tc>
        <w:tc>
          <w:tcPr>
            <w:tcW w:w="1553"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spacing w:line="280" w:lineRule="exact"/>
              <w:rPr>
                <w:kern w:val="0"/>
                <w:sz w:val="18"/>
                <w:szCs w:val="18"/>
              </w:rPr>
            </w:pP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固定资产清理 </w:t>
            </w:r>
          </w:p>
          <w:p>
            <w:pPr>
              <w:pStyle w:val="26"/>
              <w:widowControl/>
              <w:spacing w:line="280" w:lineRule="exact"/>
              <w:textAlignment w:val="bottom"/>
              <w:rPr>
                <w:kern w:val="0"/>
                <w:sz w:val="18"/>
                <w:szCs w:val="18"/>
              </w:rPr>
            </w:pPr>
            <w:r>
              <w:rPr>
                <w:kern w:val="0"/>
                <w:sz w:val="18"/>
                <w:szCs w:val="18"/>
              </w:rPr>
              <w:t xml:space="preserve">Fixed Assets Pending Disposal </w:t>
            </w:r>
          </w:p>
        </w:tc>
        <w:tc>
          <w:tcPr>
            <w:tcW w:w="1553"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spacing w:line="280" w:lineRule="exact"/>
              <w:rPr>
                <w:kern w:val="0"/>
                <w:sz w:val="18"/>
                <w:szCs w:val="18"/>
              </w:rPr>
            </w:pP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待处理固定资产损益 </w:t>
            </w:r>
          </w:p>
          <w:p>
            <w:pPr>
              <w:pStyle w:val="26"/>
              <w:widowControl/>
              <w:spacing w:line="280" w:lineRule="exact"/>
              <w:textAlignment w:val="bottom"/>
              <w:rPr>
                <w:kern w:val="0"/>
                <w:sz w:val="18"/>
                <w:szCs w:val="18"/>
              </w:rPr>
            </w:pPr>
            <w:r>
              <w:rPr>
                <w:kern w:val="0"/>
                <w:sz w:val="18"/>
                <w:szCs w:val="18"/>
              </w:rPr>
              <w:t xml:space="preserve">Fixed Assets Losses in Suspense </w:t>
            </w:r>
          </w:p>
        </w:tc>
        <w:tc>
          <w:tcPr>
            <w:tcW w:w="1553"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w:t>
            </w:r>
          </w:p>
        </w:tc>
        <w:tc>
          <w:tcPr>
            <w:tcW w:w="1721"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r>
              <w:rPr>
                <w:kern w:val="0"/>
                <w:sz w:val="18"/>
                <w:szCs w:val="18"/>
              </w:rPr>
              <w:t>-</w:t>
            </w:r>
          </w:p>
        </w:tc>
        <w:tc>
          <w:tcPr>
            <w:tcW w:w="1619" w:type="dxa"/>
            <w:tcBorders>
              <w:top w:val="single" w:color="auto" w:sz="4" w:space="0"/>
              <w:left w:val="nil"/>
              <w:bottom w:val="single" w:color="auto" w:sz="4" w:space="0"/>
              <w:right w:val="single" w:color="auto" w:sz="4" w:space="0"/>
            </w:tcBorders>
            <w:vAlign w:val="center"/>
          </w:tcPr>
          <w:p>
            <w:pPr>
              <w:pStyle w:val="26"/>
              <w:spacing w:line="280" w:lineRule="exact"/>
              <w:rPr>
                <w:kern w:val="0"/>
                <w:sz w:val="18"/>
                <w:szCs w:val="18"/>
              </w:rPr>
            </w:pP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textAlignment w:val="bottom"/>
              <w:rPr>
                <w:kern w:val="0"/>
                <w:sz w:val="18"/>
                <w:szCs w:val="18"/>
              </w:rPr>
            </w:pPr>
            <w:r>
              <w:rPr>
                <w:kern w:val="0"/>
                <w:sz w:val="18"/>
                <w:szCs w:val="18"/>
              </w:rPr>
              <w:t>-</w:t>
            </w:r>
          </w:p>
        </w:tc>
        <w:tc>
          <w:tcPr>
            <w:tcW w:w="1677" w:type="dxa"/>
            <w:tcBorders>
              <w:top w:val="single" w:color="auto" w:sz="4" w:space="0"/>
              <w:left w:val="nil"/>
              <w:bottom w:val="single" w:color="auto" w:sz="4" w:space="0"/>
              <w:right w:val="single" w:color="auto" w:sz="4" w:space="0"/>
            </w:tcBorders>
            <w:vAlign w:val="center"/>
          </w:tcPr>
          <w:p>
            <w:pPr>
              <w:pStyle w:val="26"/>
              <w:spacing w:line="280" w:lineRule="exact"/>
              <w:jc w:val="right"/>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1750" w:type="dxa"/>
            <w:tcBorders>
              <w:top w:val="single" w:color="auto" w:sz="4" w:space="0"/>
              <w:left w:val="single" w:color="auto" w:sz="4" w:space="0"/>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资金占用合计 </w:t>
            </w:r>
          </w:p>
          <w:p>
            <w:pPr>
              <w:pStyle w:val="26"/>
              <w:widowControl/>
              <w:spacing w:line="280" w:lineRule="exact"/>
              <w:textAlignment w:val="bottom"/>
              <w:rPr>
                <w:kern w:val="0"/>
                <w:sz w:val="18"/>
                <w:szCs w:val="18"/>
              </w:rPr>
            </w:pPr>
            <w:r>
              <w:rPr>
                <w:kern w:val="0"/>
                <w:sz w:val="18"/>
                <w:szCs w:val="18"/>
              </w:rPr>
              <w:t xml:space="preserve">Total Application of Fund </w:t>
            </w:r>
          </w:p>
        </w:tc>
        <w:tc>
          <w:tcPr>
            <w:tcW w:w="1553"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143,918,617.04</w:t>
            </w:r>
          </w:p>
        </w:tc>
        <w:tc>
          <w:tcPr>
            <w:tcW w:w="1721"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173,557,298.51</w:t>
            </w:r>
          </w:p>
        </w:tc>
        <w:tc>
          <w:tcPr>
            <w:tcW w:w="1619" w:type="dxa"/>
            <w:tcBorders>
              <w:top w:val="single" w:color="auto" w:sz="4" w:space="0"/>
              <w:left w:val="nil"/>
              <w:bottom w:val="single" w:color="auto" w:sz="4" w:space="0"/>
              <w:right w:val="single" w:color="auto" w:sz="4" w:space="0"/>
            </w:tcBorders>
            <w:vAlign w:val="center"/>
          </w:tcPr>
          <w:p>
            <w:pPr>
              <w:pStyle w:val="26"/>
              <w:widowControl/>
              <w:spacing w:line="280" w:lineRule="exact"/>
              <w:textAlignment w:val="bottom"/>
              <w:rPr>
                <w:kern w:val="0"/>
                <w:sz w:val="18"/>
                <w:szCs w:val="18"/>
              </w:rPr>
            </w:pPr>
            <w:r>
              <w:rPr>
                <w:kern w:val="0"/>
                <w:sz w:val="18"/>
                <w:szCs w:val="18"/>
              </w:rPr>
              <w:t xml:space="preserve">资金来源合计 </w:t>
            </w:r>
          </w:p>
          <w:p>
            <w:pPr>
              <w:pStyle w:val="26"/>
              <w:widowControl/>
              <w:spacing w:line="280" w:lineRule="exact"/>
              <w:textAlignment w:val="bottom"/>
              <w:rPr>
                <w:kern w:val="0"/>
                <w:sz w:val="18"/>
                <w:szCs w:val="18"/>
              </w:rPr>
            </w:pPr>
            <w:r>
              <w:rPr>
                <w:kern w:val="0"/>
                <w:sz w:val="18"/>
                <w:szCs w:val="18"/>
              </w:rPr>
              <w:t xml:space="preserve">Total Sources of Fund </w:t>
            </w:r>
          </w:p>
        </w:tc>
        <w:tc>
          <w:tcPr>
            <w:tcW w:w="164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143,918,617.04</w:t>
            </w:r>
          </w:p>
        </w:tc>
        <w:tc>
          <w:tcPr>
            <w:tcW w:w="1677" w:type="dxa"/>
            <w:tcBorders>
              <w:top w:val="single" w:color="auto" w:sz="4" w:space="0"/>
              <w:left w:val="nil"/>
              <w:bottom w:val="single" w:color="auto" w:sz="4" w:space="0"/>
              <w:right w:val="single" w:color="auto" w:sz="4" w:space="0"/>
            </w:tcBorders>
            <w:vAlign w:val="center"/>
          </w:tcPr>
          <w:p>
            <w:pPr>
              <w:pStyle w:val="26"/>
              <w:widowControl/>
              <w:spacing w:line="280" w:lineRule="exact"/>
              <w:jc w:val="right"/>
              <w:rPr>
                <w:kern w:val="0"/>
                <w:sz w:val="18"/>
                <w:szCs w:val="18"/>
              </w:rPr>
            </w:pPr>
            <w:r>
              <w:rPr>
                <w:kern w:val="0"/>
                <w:sz w:val="18"/>
                <w:szCs w:val="18"/>
              </w:rPr>
              <w:t>173,557,298.51</w:t>
            </w:r>
          </w:p>
        </w:tc>
      </w:tr>
    </w:tbl>
    <w:p>
      <w:pPr>
        <w:widowControl/>
        <w:rPr>
          <w:rFonts w:eastAsia="仿宋_GB2312"/>
          <w:b/>
          <w:bCs/>
          <w:szCs w:val="28"/>
        </w:rPr>
        <w:sectPr>
          <w:footerReference r:id="rId6" w:type="default"/>
          <w:pgSz w:w="11907" w:h="16840"/>
          <w:pgMar w:top="1644" w:right="1247" w:bottom="1644" w:left="907" w:header="720" w:footer="720" w:gutter="0"/>
          <w:cols w:space="720" w:num="1"/>
          <w:docGrid w:type="lines" w:linePitch="312" w:charSpace="0"/>
        </w:sectPr>
      </w:pPr>
    </w:p>
    <w:p>
      <w:pPr>
        <w:pStyle w:val="21"/>
        <w:rPr>
          <w:rFonts w:ascii="Times New Roman"/>
        </w:rPr>
      </w:pPr>
      <w:bookmarkStart w:id="6" w:name="_Toc106960366"/>
      <w:r>
        <w:rPr>
          <w:rFonts w:ascii="Times New Roman"/>
        </w:rPr>
        <w:t>（二）项目进度表</w:t>
      </w:r>
      <w:bookmarkEnd w:id="6"/>
    </w:p>
    <w:p>
      <w:pPr>
        <w:pStyle w:val="21"/>
        <w:rPr>
          <w:rFonts w:ascii="Times New Roman"/>
        </w:rPr>
      </w:pPr>
      <w:bookmarkStart w:id="7" w:name="_Toc106960367"/>
      <w:r>
        <w:rPr>
          <w:rFonts w:ascii="Times New Roman"/>
        </w:rPr>
        <w:t>ii. Summary of Sources and Uses of Funds by Project Component</w:t>
      </w:r>
      <w:bookmarkEnd w:id="7"/>
      <w:r>
        <w:rPr>
          <w:rFonts w:ascii="Times New Roman"/>
        </w:rPr>
        <w:t xml:space="preserve"> </w:t>
      </w:r>
    </w:p>
    <w:p>
      <w:pPr>
        <w:pStyle w:val="25"/>
        <w:outlineLvl w:val="1"/>
        <w:rPr>
          <w:b/>
          <w:sz w:val="32"/>
          <w:szCs w:val="32"/>
        </w:rPr>
      </w:pPr>
      <w:bookmarkStart w:id="8" w:name="_Toc106960368"/>
      <w:r>
        <w:rPr>
          <w:b/>
          <w:sz w:val="32"/>
          <w:szCs w:val="32"/>
        </w:rPr>
        <w:t>项目进度表（一）</w:t>
      </w:r>
      <w:bookmarkEnd w:id="8"/>
    </w:p>
    <w:p>
      <w:pPr>
        <w:pStyle w:val="55"/>
        <w:rPr>
          <w:rFonts w:ascii="Times New Roman" w:hAnsi="Times New Roman" w:cs="Times New Roman"/>
          <w:b/>
          <w:bCs/>
          <w:snapToGrid w:val="0"/>
          <w:kern w:val="0"/>
          <w:sz w:val="32"/>
          <w:szCs w:val="32"/>
          <w:highlight w:val="none"/>
          <w:lang w:val="en-US" w:eastAsia="zh-CN" w:bidi="ar-SA"/>
        </w:rPr>
      </w:pPr>
      <w:r>
        <w:rPr>
          <w:rFonts w:ascii="Times New Roman" w:hAnsi="Times New Roman" w:cs="Times New Roman"/>
          <w:b/>
          <w:bCs/>
          <w:snapToGrid w:val="0"/>
          <w:kern w:val="0"/>
          <w:sz w:val="32"/>
          <w:szCs w:val="32"/>
          <w:highlight w:val="none"/>
          <w:lang w:val="en-US" w:eastAsia="zh-CN" w:bidi="ar-SA"/>
        </w:rPr>
        <w:t xml:space="preserve">SUMMARY OF SOURCES AND USES OF FUNDS </w:t>
      </w:r>
    </w:p>
    <w:p>
      <w:pPr>
        <w:pStyle w:val="55"/>
        <w:rPr>
          <w:rFonts w:eastAsia="宋体"/>
          <w:b/>
          <w:bCs/>
          <w:sz w:val="32"/>
          <w:szCs w:val="32"/>
          <w:lang w:val="en-US"/>
        </w:rPr>
      </w:pPr>
      <w:r>
        <w:rPr>
          <w:rFonts w:ascii="Times New Roman" w:hAnsi="Times New Roman" w:cs="Times New Roman"/>
          <w:b/>
          <w:bCs/>
          <w:snapToGrid w:val="0"/>
          <w:kern w:val="0"/>
          <w:sz w:val="32"/>
          <w:szCs w:val="32"/>
          <w:highlight w:val="none"/>
          <w:lang w:val="en-US" w:eastAsia="zh-CN" w:bidi="ar-SA"/>
        </w:rPr>
        <w:t>BY PROJECT COMPONENT Ⅰ</w:t>
      </w:r>
    </w:p>
    <w:p>
      <w:pPr>
        <w:pStyle w:val="25"/>
      </w:pPr>
      <w:r>
        <w:t>本期截至2021年12月31日</w:t>
      </w:r>
    </w:p>
    <w:p>
      <w:pPr>
        <w:pStyle w:val="25"/>
      </w:pPr>
      <w:r>
        <w:rPr>
          <w:rFonts w:hint="eastAsia"/>
          <w:lang w:eastAsia="zh-CN"/>
        </w:rPr>
        <w:t>（</w:t>
      </w:r>
      <w:r>
        <w:t>For the period ended December 31, 2021</w:t>
      </w:r>
      <w:r>
        <w:rPr>
          <w:rFonts w:hint="eastAsia"/>
          <w:lang w:eastAsia="zh-CN"/>
        </w:rPr>
        <w:t>）</w:t>
      </w:r>
      <w:r>
        <w:t xml:space="preserve"> </w:t>
      </w:r>
    </w:p>
    <w:tbl>
      <w:tblPr>
        <w:tblStyle w:val="10"/>
        <w:tblW w:w="12787" w:type="dxa"/>
        <w:tblInd w:w="93" w:type="dxa"/>
        <w:tblLayout w:type="fixed"/>
        <w:tblCellMar>
          <w:top w:w="0" w:type="dxa"/>
          <w:left w:w="108" w:type="dxa"/>
          <w:bottom w:w="0" w:type="dxa"/>
          <w:right w:w="108" w:type="dxa"/>
        </w:tblCellMar>
      </w:tblPr>
      <w:tblGrid>
        <w:gridCol w:w="3116"/>
        <w:gridCol w:w="1860"/>
        <w:gridCol w:w="1649"/>
        <w:gridCol w:w="1141"/>
        <w:gridCol w:w="2055"/>
        <w:gridCol w:w="1704"/>
        <w:gridCol w:w="1262"/>
      </w:tblGrid>
      <w:tr>
        <w:tblPrEx>
          <w:tblLayout w:type="fixed"/>
          <w:tblCellMar>
            <w:top w:w="0" w:type="dxa"/>
            <w:left w:w="108" w:type="dxa"/>
            <w:bottom w:w="0" w:type="dxa"/>
            <w:right w:w="108" w:type="dxa"/>
          </w:tblCellMar>
        </w:tblPrEx>
        <w:tc>
          <w:tcPr>
            <w:tcW w:w="7766" w:type="dxa"/>
            <w:gridSpan w:val="4"/>
          </w:tcPr>
          <w:p>
            <w:pPr>
              <w:pStyle w:val="11"/>
              <w:snapToGrid w:val="0"/>
              <w:spacing w:line="240" w:lineRule="atLeast"/>
              <w:rPr>
                <w:rFonts w:eastAsia="仿宋_GB2312"/>
              </w:rPr>
            </w:pPr>
            <w:r>
              <w:rPr>
                <w:rFonts w:eastAsia="仿宋_GB2312"/>
              </w:rPr>
              <w:t xml:space="preserve">项目名称：亚洲开发银行贷款四川资阳绿色转型和发展项目 </w:t>
            </w:r>
          </w:p>
          <w:p>
            <w:pPr>
              <w:pStyle w:val="11"/>
              <w:snapToGrid w:val="0"/>
              <w:spacing w:line="240" w:lineRule="atLeast"/>
              <w:rPr>
                <w:rFonts w:eastAsia="仿宋_GB2312"/>
              </w:rPr>
            </w:pPr>
            <w:r>
              <w:rPr>
                <w:rFonts w:eastAsia="仿宋_GB2312"/>
              </w:rPr>
              <w:t xml:space="preserve">Project Name: Loan Project Financed by ADB for the Green Transformation and Development of Ziyang, Sichuan Province </w:t>
            </w:r>
          </w:p>
        </w:tc>
        <w:tc>
          <w:tcPr>
            <w:tcW w:w="5021" w:type="dxa"/>
            <w:gridSpan w:val="3"/>
          </w:tcPr>
          <w:p>
            <w:pPr>
              <w:pStyle w:val="11"/>
              <w:snapToGrid w:val="0"/>
              <w:spacing w:line="240" w:lineRule="atLeast"/>
              <w:jc w:val="right"/>
              <w:rPr>
                <w:rFonts w:eastAsia="仿宋_GB2312"/>
                <w:kern w:val="0"/>
              </w:rPr>
            </w:pPr>
          </w:p>
        </w:tc>
      </w:tr>
      <w:tr>
        <w:tblPrEx>
          <w:tblLayout w:type="fixed"/>
          <w:tblCellMar>
            <w:top w:w="0" w:type="dxa"/>
            <w:left w:w="108" w:type="dxa"/>
            <w:bottom w:w="0" w:type="dxa"/>
            <w:right w:w="108" w:type="dxa"/>
          </w:tblCellMar>
        </w:tblPrEx>
        <w:tc>
          <w:tcPr>
            <w:tcW w:w="7766" w:type="dxa"/>
            <w:gridSpan w:val="4"/>
          </w:tcPr>
          <w:p>
            <w:pPr>
              <w:pStyle w:val="11"/>
              <w:snapToGrid w:val="0"/>
              <w:spacing w:line="240" w:lineRule="atLeast"/>
              <w:rPr>
                <w:rFonts w:eastAsia="仿宋_GB2312"/>
              </w:rPr>
            </w:pPr>
            <w:r>
              <w:rPr>
                <w:rFonts w:eastAsia="仿宋_GB2312"/>
              </w:rPr>
              <w:t xml:space="preserve">编报单位：亚洲开发银行贷款四川资阳绿色转型和发展项目办公室 </w:t>
            </w:r>
          </w:p>
          <w:p>
            <w:pPr>
              <w:pStyle w:val="11"/>
              <w:snapToGrid w:val="0"/>
              <w:spacing w:line="240" w:lineRule="atLeast"/>
              <w:rPr>
                <w:rFonts w:eastAsia="仿宋_GB2312"/>
              </w:rPr>
            </w:pPr>
            <w:r>
              <w:rPr>
                <w:rFonts w:eastAsia="仿宋_GB2312"/>
              </w:rPr>
              <w:t xml:space="preserve">Prepared by: Office of Loan Project Financed by ADB for the Green Transformation and Development of Ziyang, Sichuan Province </w:t>
            </w:r>
          </w:p>
        </w:tc>
        <w:tc>
          <w:tcPr>
            <w:tcW w:w="5021" w:type="dxa"/>
            <w:gridSpan w:val="3"/>
          </w:tcPr>
          <w:p>
            <w:pPr>
              <w:pStyle w:val="11"/>
              <w:snapToGrid w:val="0"/>
              <w:spacing w:line="240" w:lineRule="atLeast"/>
              <w:jc w:val="right"/>
              <w:rPr>
                <w:rFonts w:eastAsia="仿宋_GB2312"/>
                <w:kern w:val="0"/>
              </w:rPr>
            </w:pPr>
            <w:r>
              <w:rPr>
                <w:rFonts w:eastAsia="仿宋_GB2312"/>
                <w:kern w:val="0"/>
              </w:rPr>
              <w:t>货币单位：人民币元</w:t>
            </w:r>
          </w:p>
          <w:p>
            <w:pPr>
              <w:pStyle w:val="11"/>
              <w:snapToGrid w:val="0"/>
              <w:spacing w:line="240" w:lineRule="atLeast"/>
              <w:jc w:val="right"/>
              <w:rPr>
                <w:rFonts w:eastAsia="仿宋_GB2312"/>
                <w:kern w:val="0"/>
              </w:rPr>
            </w:pPr>
            <w:r>
              <w:rPr>
                <w:rFonts w:eastAsia="仿宋_GB2312"/>
                <w:kern w:val="0"/>
              </w:rPr>
              <w:t xml:space="preserve">Currency Unit: RMB yuan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7" w:hRule="atLeast"/>
        </w:trPr>
        <w:tc>
          <w:tcPr>
            <w:tcW w:w="3116" w:type="dxa"/>
            <w:vMerge w:val="restart"/>
            <w:tcBorders>
              <w:top w:val="single" w:color="000000" w:sz="4" w:space="0"/>
              <w:left w:val="single" w:color="000000" w:sz="4" w:space="0"/>
              <w:bottom w:val="single" w:color="000000" w:sz="4" w:space="0"/>
              <w:right w:val="single" w:color="000000" w:sz="4" w:space="0"/>
            </w:tcBorders>
            <w:vAlign w:val="center"/>
          </w:tcPr>
          <w:p>
            <w:pPr>
              <w:pStyle w:val="28"/>
              <w:widowControl/>
              <w:spacing w:line="240" w:lineRule="exact"/>
              <w:jc w:val="center"/>
              <w:rPr>
                <w:sz w:val="18"/>
                <w:szCs w:val="18"/>
              </w:rPr>
            </w:pPr>
          </w:p>
        </w:tc>
        <w:tc>
          <w:tcPr>
            <w:tcW w:w="4650" w:type="dxa"/>
            <w:gridSpan w:val="3"/>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本期 </w:t>
            </w:r>
          </w:p>
          <w:p>
            <w:pPr>
              <w:pStyle w:val="28"/>
              <w:widowControl/>
              <w:spacing w:line="240" w:lineRule="exact"/>
              <w:jc w:val="center"/>
              <w:textAlignment w:val="center"/>
              <w:rPr>
                <w:sz w:val="18"/>
                <w:szCs w:val="18"/>
              </w:rPr>
            </w:pPr>
            <w:r>
              <w:rPr>
                <w:sz w:val="18"/>
                <w:szCs w:val="18"/>
              </w:rPr>
              <w:t xml:space="preserve">Current Period </w:t>
            </w:r>
          </w:p>
        </w:tc>
        <w:tc>
          <w:tcPr>
            <w:tcW w:w="5021" w:type="dxa"/>
            <w:gridSpan w:val="3"/>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累计 </w:t>
            </w:r>
          </w:p>
          <w:p>
            <w:pPr>
              <w:pStyle w:val="28"/>
              <w:widowControl/>
              <w:spacing w:line="240" w:lineRule="exact"/>
              <w:jc w:val="center"/>
              <w:textAlignment w:val="center"/>
              <w:rPr>
                <w:sz w:val="18"/>
                <w:szCs w:val="18"/>
              </w:rPr>
            </w:pPr>
            <w:r>
              <w:rPr>
                <w:sz w:val="18"/>
                <w:szCs w:val="18"/>
              </w:rPr>
              <w:t xml:space="preserve">Cumulative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3116" w:type="dxa"/>
            <w:vMerge w:val="continue"/>
            <w:tcBorders>
              <w:top w:val="single" w:color="000000" w:sz="4" w:space="0"/>
              <w:left w:val="single" w:color="000000" w:sz="4" w:space="0"/>
              <w:bottom w:val="single" w:color="000000" w:sz="4" w:space="0"/>
              <w:right w:val="single" w:color="000000" w:sz="4" w:space="0"/>
            </w:tcBorders>
            <w:vAlign w:val="center"/>
          </w:tcPr>
          <w:p>
            <w:pPr>
              <w:widowControl/>
              <w:ind w:firstLine="360"/>
              <w:rPr>
                <w:sz w:val="18"/>
                <w:szCs w:val="18"/>
              </w:rPr>
            </w:pPr>
          </w:p>
        </w:tc>
        <w:tc>
          <w:tcPr>
            <w:tcW w:w="1860" w:type="dxa"/>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本期计划额 </w:t>
            </w:r>
          </w:p>
          <w:p>
            <w:pPr>
              <w:pStyle w:val="28"/>
              <w:widowControl/>
              <w:spacing w:line="240" w:lineRule="exact"/>
              <w:jc w:val="center"/>
              <w:textAlignment w:val="center"/>
              <w:rPr>
                <w:sz w:val="18"/>
                <w:szCs w:val="18"/>
              </w:rPr>
            </w:pPr>
            <w:r>
              <w:rPr>
                <w:sz w:val="18"/>
                <w:szCs w:val="18"/>
              </w:rPr>
              <w:t xml:space="preserve">Current Period Budget </w:t>
            </w:r>
          </w:p>
        </w:tc>
        <w:tc>
          <w:tcPr>
            <w:tcW w:w="1649" w:type="dxa"/>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本期发生额 </w:t>
            </w:r>
          </w:p>
          <w:p>
            <w:pPr>
              <w:pStyle w:val="28"/>
              <w:widowControl/>
              <w:spacing w:line="240" w:lineRule="exact"/>
              <w:jc w:val="center"/>
              <w:textAlignment w:val="center"/>
              <w:rPr>
                <w:sz w:val="18"/>
                <w:szCs w:val="18"/>
              </w:rPr>
            </w:pPr>
            <w:r>
              <w:rPr>
                <w:sz w:val="18"/>
                <w:szCs w:val="18"/>
              </w:rPr>
              <w:t xml:space="preserve">Current Period Actual </w:t>
            </w:r>
          </w:p>
        </w:tc>
        <w:tc>
          <w:tcPr>
            <w:tcW w:w="1141" w:type="dxa"/>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本期完成比 </w:t>
            </w:r>
          </w:p>
          <w:p>
            <w:pPr>
              <w:pStyle w:val="28"/>
              <w:widowControl/>
              <w:spacing w:line="240" w:lineRule="exact"/>
              <w:jc w:val="center"/>
              <w:textAlignment w:val="center"/>
              <w:rPr>
                <w:sz w:val="18"/>
                <w:szCs w:val="18"/>
              </w:rPr>
            </w:pPr>
            <w:r>
              <w:rPr>
                <w:sz w:val="18"/>
                <w:szCs w:val="18"/>
              </w:rPr>
              <w:t xml:space="preserve">Current Period % Completed </w:t>
            </w:r>
          </w:p>
        </w:tc>
        <w:tc>
          <w:tcPr>
            <w:tcW w:w="2055" w:type="dxa"/>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项目总计划额 </w:t>
            </w:r>
          </w:p>
          <w:p>
            <w:pPr>
              <w:pStyle w:val="28"/>
              <w:widowControl/>
              <w:spacing w:line="240" w:lineRule="exact"/>
              <w:jc w:val="center"/>
              <w:textAlignment w:val="center"/>
              <w:rPr>
                <w:sz w:val="18"/>
                <w:szCs w:val="18"/>
              </w:rPr>
            </w:pPr>
            <w:r>
              <w:rPr>
                <w:sz w:val="18"/>
                <w:szCs w:val="18"/>
              </w:rPr>
              <w:t xml:space="preserve">Total Planned Amount of the Project </w:t>
            </w:r>
          </w:p>
        </w:tc>
        <w:tc>
          <w:tcPr>
            <w:tcW w:w="1704" w:type="dxa"/>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累计完成额 </w:t>
            </w:r>
          </w:p>
          <w:p>
            <w:pPr>
              <w:pStyle w:val="28"/>
              <w:widowControl/>
              <w:spacing w:line="240" w:lineRule="exact"/>
              <w:jc w:val="center"/>
              <w:textAlignment w:val="center"/>
              <w:rPr>
                <w:sz w:val="18"/>
                <w:szCs w:val="18"/>
              </w:rPr>
            </w:pPr>
            <w:r>
              <w:rPr>
                <w:sz w:val="18"/>
                <w:szCs w:val="18"/>
              </w:rPr>
              <w:t xml:space="preserve">Cumulative Actual </w:t>
            </w:r>
          </w:p>
        </w:tc>
        <w:tc>
          <w:tcPr>
            <w:tcW w:w="1262" w:type="dxa"/>
            <w:tcBorders>
              <w:top w:val="single" w:color="000000" w:sz="4" w:space="0"/>
              <w:left w:val="nil"/>
              <w:bottom w:val="single" w:color="000000" w:sz="4" w:space="0"/>
              <w:right w:val="single" w:color="000000" w:sz="4" w:space="0"/>
            </w:tcBorders>
            <w:vAlign w:val="center"/>
          </w:tcPr>
          <w:p>
            <w:pPr>
              <w:pStyle w:val="28"/>
              <w:widowControl/>
              <w:spacing w:line="240" w:lineRule="exact"/>
              <w:jc w:val="center"/>
              <w:textAlignment w:val="center"/>
              <w:rPr>
                <w:sz w:val="18"/>
                <w:szCs w:val="18"/>
              </w:rPr>
            </w:pPr>
            <w:r>
              <w:rPr>
                <w:sz w:val="18"/>
                <w:szCs w:val="18"/>
              </w:rPr>
              <w:t xml:space="preserve">累计完成比 </w:t>
            </w:r>
          </w:p>
          <w:p>
            <w:pPr>
              <w:pStyle w:val="28"/>
              <w:widowControl/>
              <w:spacing w:line="240" w:lineRule="exact"/>
              <w:jc w:val="center"/>
              <w:textAlignment w:val="center"/>
              <w:rPr>
                <w:sz w:val="18"/>
                <w:szCs w:val="18"/>
              </w:rPr>
            </w:pPr>
            <w:r>
              <w:rPr>
                <w:sz w:val="18"/>
                <w:szCs w:val="18"/>
              </w:rPr>
              <w:t xml:space="preserve">Cumulative % Completed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01" w:hRule="atLeast"/>
        </w:trPr>
        <w:tc>
          <w:tcPr>
            <w:tcW w:w="3116" w:type="dxa"/>
            <w:tcBorders>
              <w:top w:val="single" w:color="000000" w:sz="4" w:space="0"/>
              <w:left w:val="single" w:color="000000" w:sz="4" w:space="0"/>
              <w:bottom w:val="single" w:color="000000" w:sz="4" w:space="0"/>
              <w:right w:val="single" w:color="000000" w:sz="4" w:space="0"/>
            </w:tcBorders>
            <w:vAlign w:val="center"/>
          </w:tcPr>
          <w:p>
            <w:pPr>
              <w:pStyle w:val="28"/>
              <w:widowControl/>
              <w:textAlignment w:val="center"/>
              <w:rPr>
                <w:b/>
                <w:bCs/>
                <w:sz w:val="18"/>
                <w:szCs w:val="18"/>
              </w:rPr>
            </w:pPr>
            <w:r>
              <w:rPr>
                <w:b/>
                <w:bCs/>
                <w:sz w:val="18"/>
                <w:szCs w:val="18"/>
              </w:rPr>
              <w:t xml:space="preserve">资金来源合计 </w:t>
            </w:r>
          </w:p>
          <w:p>
            <w:pPr>
              <w:pStyle w:val="28"/>
              <w:widowControl/>
              <w:textAlignment w:val="center"/>
              <w:rPr>
                <w:b/>
                <w:bCs/>
                <w:sz w:val="18"/>
                <w:szCs w:val="18"/>
              </w:rPr>
            </w:pPr>
            <w:r>
              <w:rPr>
                <w:b/>
                <w:bCs/>
                <w:sz w:val="18"/>
                <w:szCs w:val="18"/>
              </w:rPr>
              <w:t xml:space="preserve">Total Sources of Fund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bCs/>
                <w:color w:val="000000"/>
                <w:kern w:val="0"/>
                <w:sz w:val="18"/>
                <w:szCs w:val="18"/>
                <w:lang w:bidi="ar"/>
              </w:rPr>
            </w:pPr>
            <w:r>
              <w:rPr>
                <w:rFonts w:eastAsia="等线"/>
                <w:b/>
                <w:bCs/>
                <w:color w:val="000000"/>
                <w:kern w:val="0"/>
                <w:sz w:val="18"/>
                <w:szCs w:val="18"/>
                <w:lang w:bidi="ar"/>
              </w:rPr>
              <w:t>160,927,520.54</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bCs/>
                <w:color w:val="000000"/>
                <w:kern w:val="0"/>
                <w:sz w:val="18"/>
                <w:szCs w:val="18"/>
                <w:lang w:bidi="ar"/>
              </w:rPr>
            </w:pPr>
            <w:r>
              <w:rPr>
                <w:rFonts w:eastAsia="等线"/>
                <w:b/>
                <w:bCs/>
                <w:color w:val="000000"/>
                <w:kern w:val="0"/>
                <w:sz w:val="18"/>
                <w:szCs w:val="18"/>
                <w:lang w:bidi="ar"/>
              </w:rPr>
              <w:t>24,656,015.10</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bCs/>
                <w:color w:val="000000"/>
                <w:kern w:val="0"/>
                <w:sz w:val="18"/>
                <w:szCs w:val="18"/>
                <w:lang w:bidi="ar"/>
              </w:rPr>
            </w:pPr>
            <w:r>
              <w:rPr>
                <w:rFonts w:eastAsia="等线"/>
                <w:b/>
                <w:bCs/>
                <w:color w:val="000000"/>
                <w:kern w:val="0"/>
                <w:sz w:val="18"/>
                <w:szCs w:val="18"/>
                <w:lang w:bidi="ar"/>
              </w:rPr>
              <w:t>15.32%</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bCs/>
                <w:color w:val="000000"/>
                <w:kern w:val="0"/>
                <w:sz w:val="18"/>
                <w:szCs w:val="18"/>
                <w:lang w:bidi="ar"/>
              </w:rPr>
            </w:pPr>
            <w:r>
              <w:rPr>
                <w:rFonts w:eastAsia="等线"/>
                <w:b/>
                <w:bCs/>
                <w:color w:val="000000"/>
                <w:kern w:val="0"/>
                <w:sz w:val="18"/>
                <w:szCs w:val="18"/>
                <w:lang w:bidi="ar"/>
              </w:rPr>
              <w:t xml:space="preserve">2,551,334,800.00 </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bCs/>
                <w:color w:val="000000"/>
                <w:kern w:val="0"/>
                <w:sz w:val="18"/>
                <w:szCs w:val="18"/>
                <w:lang w:bidi="ar"/>
              </w:rPr>
            </w:pPr>
            <w:r>
              <w:rPr>
                <w:rFonts w:eastAsia="等线"/>
                <w:b/>
                <w:bCs/>
                <w:color w:val="000000"/>
                <w:kern w:val="0"/>
                <w:sz w:val="18"/>
                <w:szCs w:val="18"/>
                <w:lang w:bidi="ar"/>
              </w:rPr>
              <w:t>162,517,098.28</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bCs/>
                <w:color w:val="000000"/>
                <w:kern w:val="0"/>
                <w:sz w:val="18"/>
                <w:szCs w:val="18"/>
                <w:lang w:bidi="ar"/>
              </w:rPr>
            </w:pPr>
            <w:r>
              <w:rPr>
                <w:rFonts w:eastAsia="等线"/>
                <w:b/>
                <w:bCs/>
                <w:color w:val="000000"/>
                <w:kern w:val="0"/>
                <w:sz w:val="18"/>
                <w:szCs w:val="18"/>
                <w:lang w:bidi="ar"/>
              </w:rPr>
              <w:t>6.37%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76"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一、国际金融组织贷款</w:t>
            </w:r>
          </w:p>
          <w:p>
            <w:pPr>
              <w:pStyle w:val="28"/>
              <w:widowControl/>
              <w:textAlignment w:val="top"/>
              <w:rPr>
                <w:sz w:val="18"/>
                <w:szCs w:val="18"/>
              </w:rPr>
            </w:pPr>
            <w:r>
              <w:rPr>
                <w:sz w:val="18"/>
                <w:szCs w:val="18"/>
              </w:rPr>
              <w:t xml:space="preserve">International Financing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109,025,362.86</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9,345,766.30</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8.57%</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1,292,000,000.00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41,970,266.30</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1"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 xml:space="preserve">1.亚洲开发银行 </w:t>
            </w:r>
          </w:p>
          <w:p>
            <w:pPr>
              <w:pStyle w:val="28"/>
              <w:widowControl/>
              <w:textAlignment w:val="top"/>
              <w:rPr>
                <w:sz w:val="18"/>
                <w:szCs w:val="18"/>
              </w:rPr>
            </w:pPr>
            <w:r>
              <w:rPr>
                <w:sz w:val="18"/>
                <w:szCs w:val="18"/>
              </w:rPr>
              <w:t xml:space="preserve">ADB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109,025,362.86</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9,345,766.30</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8.57%</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1,292,000,000.00 </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41,970,266.30 </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7"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二、配套资金</w:t>
            </w:r>
          </w:p>
          <w:p>
            <w:pPr>
              <w:pStyle w:val="28"/>
              <w:widowControl/>
              <w:textAlignment w:val="top"/>
              <w:rPr>
                <w:sz w:val="18"/>
                <w:szCs w:val="18"/>
              </w:rPr>
            </w:pPr>
            <w:r>
              <w:rPr>
                <w:sz w:val="18"/>
                <w:szCs w:val="18"/>
              </w:rPr>
              <w:t xml:space="preserve">Counterpart Financing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51,902,157.68</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15,310,248.80</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29.50%</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1,259,334,800.00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120,546,831.98</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 xml:space="preserve">1.无偿配套 </w:t>
            </w:r>
          </w:p>
          <w:p>
            <w:pPr>
              <w:pStyle w:val="28"/>
              <w:widowControl/>
              <w:textAlignment w:val="top"/>
              <w:rPr>
                <w:sz w:val="18"/>
                <w:szCs w:val="18"/>
              </w:rPr>
            </w:pPr>
            <w:r>
              <w:rPr>
                <w:sz w:val="18"/>
                <w:szCs w:val="18"/>
              </w:rPr>
              <w:t xml:space="preserve">Appropriation Funds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51,902,157.68</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15,310,248.80</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29.50%</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1,259,334,800.00 </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120,546,831.98</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 xml:space="preserve">1）财政拨款 </w:t>
            </w:r>
          </w:p>
          <w:p>
            <w:pPr>
              <w:pStyle w:val="28"/>
              <w:widowControl/>
              <w:textAlignment w:val="top"/>
            </w:pPr>
            <w:r>
              <w:rPr>
                <w:sz w:val="18"/>
                <w:szCs w:val="18"/>
              </w:rPr>
              <w:t xml:space="preserve">Government Funding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51,902,157.68</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15,310,248.80</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29.50%</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1,259,334,800.00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120,546,831.98</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rFonts w:eastAsia="仿宋_GB2312"/>
                <w:b/>
                <w:bCs/>
                <w:sz w:val="18"/>
                <w:szCs w:val="18"/>
              </w:rPr>
            </w:pPr>
            <w:r>
              <w:rPr>
                <w:rFonts w:eastAsia="仿宋_GB2312"/>
                <w:b/>
                <w:bCs/>
                <w:sz w:val="18"/>
                <w:szCs w:val="18"/>
              </w:rPr>
              <w:t xml:space="preserve">资金运用合计 </w:t>
            </w:r>
          </w:p>
          <w:p>
            <w:pPr>
              <w:pStyle w:val="28"/>
              <w:widowControl/>
              <w:textAlignment w:val="top"/>
              <w:rPr>
                <w:rFonts w:eastAsia="仿宋_GB2312"/>
                <w:b/>
                <w:bCs/>
                <w:sz w:val="18"/>
                <w:szCs w:val="18"/>
              </w:rPr>
            </w:pPr>
            <w:r>
              <w:rPr>
                <w:rFonts w:eastAsia="仿宋_GB2312"/>
                <w:b/>
                <w:bCs/>
                <w:sz w:val="18"/>
                <w:szCs w:val="18"/>
              </w:rPr>
              <w:t xml:space="preserve">Total Application of Funds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color w:val="000000"/>
                <w:kern w:val="0"/>
                <w:sz w:val="18"/>
                <w:szCs w:val="18"/>
                <w:lang w:bidi="ar"/>
              </w:rPr>
            </w:pPr>
            <w:r>
              <w:rPr>
                <w:rFonts w:eastAsia="等线"/>
                <w:b/>
                <w:color w:val="000000"/>
                <w:kern w:val="0"/>
                <w:sz w:val="18"/>
                <w:szCs w:val="18"/>
                <w:lang w:bidi="ar"/>
              </w:rPr>
              <w:t>160,927,520.54</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color w:val="000000"/>
                <w:kern w:val="0"/>
                <w:sz w:val="18"/>
                <w:szCs w:val="18"/>
                <w:lang w:bidi="ar"/>
              </w:rPr>
            </w:pPr>
            <w:r>
              <w:rPr>
                <w:rFonts w:eastAsia="等线"/>
                <w:b/>
                <w:color w:val="000000"/>
                <w:kern w:val="0"/>
                <w:sz w:val="18"/>
                <w:szCs w:val="18"/>
                <w:lang w:bidi="ar"/>
              </w:rPr>
              <w:t>30,262,718.84</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color w:val="000000"/>
                <w:kern w:val="0"/>
                <w:sz w:val="18"/>
                <w:szCs w:val="18"/>
                <w:lang w:bidi="ar"/>
              </w:rPr>
            </w:pPr>
            <w:r>
              <w:rPr>
                <w:rFonts w:eastAsia="等线"/>
                <w:b/>
                <w:color w:val="000000"/>
                <w:kern w:val="0"/>
                <w:sz w:val="18"/>
                <w:szCs w:val="18"/>
                <w:lang w:bidi="ar"/>
              </w:rPr>
              <w:t>18.81%</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color w:val="000000"/>
                <w:kern w:val="0"/>
                <w:sz w:val="18"/>
                <w:szCs w:val="18"/>
                <w:lang w:bidi="ar"/>
              </w:rPr>
            </w:pPr>
            <w:r>
              <w:rPr>
                <w:rFonts w:eastAsia="等线"/>
                <w:b/>
                <w:color w:val="000000"/>
                <w:kern w:val="0"/>
                <w:sz w:val="18"/>
                <w:szCs w:val="18"/>
                <w:lang w:bidi="ar"/>
              </w:rPr>
              <w:t xml:space="preserve">2,551,334,800.00 </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color w:val="000000"/>
                <w:kern w:val="0"/>
                <w:sz w:val="18"/>
                <w:szCs w:val="18"/>
                <w:lang w:bidi="ar"/>
              </w:rPr>
            </w:pPr>
            <w:r>
              <w:rPr>
                <w:rFonts w:eastAsia="等线"/>
                <w:b/>
                <w:color w:val="000000"/>
                <w:kern w:val="0"/>
                <w:sz w:val="18"/>
                <w:szCs w:val="18"/>
                <w:lang w:bidi="ar"/>
              </w:rPr>
              <w:t>142,548,051.38</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b/>
                <w:color w:val="000000"/>
                <w:kern w:val="0"/>
                <w:sz w:val="18"/>
                <w:szCs w:val="18"/>
                <w:lang w:bidi="ar"/>
              </w:rPr>
            </w:pPr>
            <w:r>
              <w:rPr>
                <w:rFonts w:eastAsia="等线"/>
                <w:b/>
                <w:color w:val="000000"/>
                <w:kern w:val="0"/>
                <w:sz w:val="18"/>
                <w:szCs w:val="18"/>
                <w:lang w:bidi="ar"/>
              </w:rPr>
              <w:t>5.59%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1. 生态系统和环境基础设施建设</w:t>
            </w:r>
          </w:p>
          <w:p>
            <w:pPr>
              <w:pStyle w:val="28"/>
              <w:widowControl/>
              <w:textAlignment w:val="top"/>
              <w:rPr>
                <w:sz w:val="18"/>
                <w:szCs w:val="18"/>
              </w:rPr>
            </w:pPr>
            <w:r>
              <w:rPr>
                <w:sz w:val="18"/>
                <w:szCs w:val="18"/>
              </w:rPr>
              <w:t xml:space="preserve">Ecosystem and Environmental Infrastructure Building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88,932,646.96</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27,450,422.19</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30.87%</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1,698,641,400.00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40,365,045.02</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1.1 城南滨江生态河堤</w:t>
            </w:r>
          </w:p>
          <w:p>
            <w:pPr>
              <w:pStyle w:val="28"/>
              <w:widowControl/>
              <w:textAlignment w:val="top"/>
              <w:rPr>
                <w:sz w:val="18"/>
                <w:szCs w:val="18"/>
              </w:rPr>
            </w:pPr>
            <w:r>
              <w:rPr>
                <w:sz w:val="18"/>
                <w:szCs w:val="18"/>
              </w:rPr>
              <w:t xml:space="preserve">South Binjiang Ecological River Levee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23,618,959.58</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442,871.41</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1.88%</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520,921,400.00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3,938,785.38</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39"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1.2 高新区海绵化改造</w:t>
            </w:r>
          </w:p>
          <w:p>
            <w:pPr>
              <w:pStyle w:val="28"/>
              <w:widowControl/>
              <w:textAlignment w:val="top"/>
              <w:rPr>
                <w:sz w:val="18"/>
                <w:szCs w:val="18"/>
              </w:rPr>
            </w:pPr>
            <w:r>
              <w:rPr>
                <w:sz w:val="18"/>
                <w:szCs w:val="18"/>
              </w:rPr>
              <w:t xml:space="preserve">High-Tech Zone Sponge Renovation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2,405,577.62</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30,709.82</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1.28%</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36,122,000.00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136,304.25</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1.3 雁南湖水环境治理及湿地修复</w:t>
            </w:r>
          </w:p>
          <w:p>
            <w:pPr>
              <w:pStyle w:val="28"/>
              <w:widowControl/>
              <w:textAlignment w:val="top"/>
              <w:rPr>
                <w:sz w:val="18"/>
                <w:szCs w:val="18"/>
              </w:rPr>
            </w:pPr>
            <w:r>
              <w:rPr>
                <w:sz w:val="18"/>
                <w:szCs w:val="18"/>
              </w:rPr>
              <w:t xml:space="preserve">Yannan Lake Water Environment Governance and Wetland Restoration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34,010,883.29</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18,332,904.10</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53.90%</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246,130,400.00 </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21,105,063.42</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8.57%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1.4 垃圾处理厂封场及生态恢复</w:t>
            </w:r>
          </w:p>
          <w:p>
            <w:pPr>
              <w:pStyle w:val="28"/>
              <w:widowControl/>
              <w:textAlignment w:val="top"/>
              <w:rPr>
                <w:sz w:val="18"/>
                <w:szCs w:val="18"/>
              </w:rPr>
            </w:pPr>
            <w:r>
              <w:rPr>
                <w:sz w:val="18"/>
                <w:szCs w:val="18"/>
              </w:rPr>
              <w:t xml:space="preserve">Refuse Processing Plant Closing and Ecosystem Restoration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16,687,816.99</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309,982.99</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1.86%</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351,110,000.00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2,877,742.93</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1.5 城南城市绿楔</w:t>
            </w:r>
          </w:p>
          <w:p>
            <w:pPr>
              <w:pStyle w:val="28"/>
              <w:widowControl/>
              <w:textAlignment w:val="top"/>
              <w:rPr>
                <w:sz w:val="18"/>
                <w:szCs w:val="18"/>
              </w:rPr>
            </w:pPr>
            <w:r>
              <w:rPr>
                <w:sz w:val="18"/>
                <w:szCs w:val="18"/>
              </w:rPr>
              <w:t xml:space="preserve">Southern City Wedge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2,035,745.00</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434,389.33</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21.34%</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502,475,500.00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3,420,761.75</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1.6 高新区裸露山体生态修复</w:t>
            </w:r>
          </w:p>
          <w:p>
            <w:pPr>
              <w:pStyle w:val="28"/>
              <w:widowControl/>
              <w:textAlignment w:val="top"/>
              <w:rPr>
                <w:sz w:val="18"/>
                <w:szCs w:val="18"/>
              </w:rPr>
            </w:pPr>
            <w:r>
              <w:rPr>
                <w:sz w:val="18"/>
                <w:szCs w:val="18"/>
              </w:rPr>
              <w:t xml:space="preserve">High-tech Zone Bare Hill Ecosystem Restoration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10,173,664.48</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7,899,564.54</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77.65%</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41,882,100.00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8,886,387.29</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21.22%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2. 扩大经济部门的机会</w:t>
            </w:r>
          </w:p>
          <w:p>
            <w:pPr>
              <w:pStyle w:val="28"/>
              <w:widowControl/>
              <w:textAlignment w:val="top"/>
              <w:rPr>
                <w:sz w:val="18"/>
                <w:szCs w:val="18"/>
              </w:rPr>
            </w:pPr>
            <w:r>
              <w:rPr>
                <w:sz w:val="18"/>
                <w:szCs w:val="18"/>
              </w:rPr>
              <w:t xml:space="preserve">Economic Sector Opportunity Expanding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63,961,773.58</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1,239,978.15</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1.94%</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709,502,400.00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99,292,647.31</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13.99%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2.1 牙谷科创园公共研发孵化中心设备采购与平台建设</w:t>
            </w:r>
          </w:p>
          <w:p>
            <w:pPr>
              <w:pStyle w:val="28"/>
              <w:widowControl/>
              <w:textAlignment w:val="top"/>
              <w:rPr>
                <w:sz w:val="18"/>
                <w:szCs w:val="18"/>
              </w:rPr>
            </w:pPr>
            <w:r>
              <w:rPr>
                <w:sz w:val="18"/>
                <w:szCs w:val="18"/>
              </w:rPr>
              <w:t xml:space="preserve">Yagu High-tech Park Public R&amp;D Incubator Equipment Procurement and Platform Building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145,982.76</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171,710,200.00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661,544.51</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2.2 口腔装备材料检验中心设备采购</w:t>
            </w:r>
          </w:p>
          <w:p>
            <w:pPr>
              <w:pStyle w:val="28"/>
              <w:widowControl/>
              <w:textAlignment w:val="top"/>
              <w:rPr>
                <w:sz w:val="18"/>
                <w:szCs w:val="18"/>
              </w:rPr>
            </w:pPr>
            <w:r>
              <w:rPr>
                <w:sz w:val="18"/>
                <w:szCs w:val="18"/>
              </w:rPr>
              <w:t xml:space="preserve">Stomatologic Equipment and Material Inspection Center Equipment Procurement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16,040,728.29</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121,261.54</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0.76%</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142,632,200.00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500,627.70</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2.3 职教中心转型升级</w:t>
            </w:r>
          </w:p>
          <w:p>
            <w:pPr>
              <w:pStyle w:val="28"/>
              <w:widowControl/>
              <w:textAlignment w:val="top"/>
              <w:rPr>
                <w:sz w:val="18"/>
                <w:szCs w:val="18"/>
              </w:rPr>
            </w:pPr>
            <w:r>
              <w:rPr>
                <w:sz w:val="18"/>
                <w:szCs w:val="18"/>
              </w:rPr>
              <w:t xml:space="preserve">Transformation and Upgrading of Vocational Education Center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47,921,045.29 </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972,733.85</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2.03%</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395,160,000.00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98,130,475.10</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24.83%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 xml:space="preserve">3.加强城市发展规划和管理能力 Urban Development Planning and Management Ability Building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2,519,400.00</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104,985.07</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4.17%</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123,681,800.00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427,371.50 </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3.1 高新区智慧园区项目</w:t>
            </w:r>
          </w:p>
          <w:p>
            <w:pPr>
              <w:pStyle w:val="28"/>
              <w:widowControl/>
              <w:textAlignment w:val="top"/>
              <w:rPr>
                <w:sz w:val="18"/>
                <w:szCs w:val="18"/>
              </w:rPr>
            </w:pPr>
            <w:r>
              <w:rPr>
                <w:sz w:val="18"/>
                <w:szCs w:val="18"/>
              </w:rPr>
              <w:t xml:space="preserve">High-tech Zone Smart Park Project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1,356,600.00</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101,689.81</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7.50%</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119,805,800.00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414,554.92</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3.2 高新区绿色转型绩效监测评价系统</w:t>
            </w:r>
          </w:p>
          <w:p>
            <w:pPr>
              <w:pStyle w:val="28"/>
              <w:widowControl/>
              <w:textAlignment w:val="top"/>
              <w:rPr>
                <w:sz w:val="18"/>
                <w:szCs w:val="18"/>
              </w:rPr>
            </w:pPr>
            <w:r>
              <w:rPr>
                <w:sz w:val="18"/>
                <w:szCs w:val="18"/>
              </w:rPr>
              <w:t xml:space="preserve">High-tech Zone Green Transformation Performance Monitoring and Evaluation System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516,800.00</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1,098.42 </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0.21%</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1,292,000.00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4,272.20</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3.3 高新区城市绿色规划转型研究</w:t>
            </w:r>
          </w:p>
          <w:p>
            <w:pPr>
              <w:pStyle w:val="28"/>
              <w:widowControl/>
              <w:textAlignment w:val="top"/>
              <w:rPr>
                <w:sz w:val="18"/>
                <w:szCs w:val="18"/>
              </w:rPr>
            </w:pPr>
            <w:r>
              <w:rPr>
                <w:sz w:val="18"/>
                <w:szCs w:val="18"/>
              </w:rPr>
              <w:t xml:space="preserve">High-tech Zone Urban Green Planning Transformation Research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646,000.00</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2,196.84 </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0.34%</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2,584,000.00</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8,544.38</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0.33%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3116" w:type="dxa"/>
            <w:tcBorders>
              <w:top w:val="single" w:color="000000" w:sz="4" w:space="0"/>
              <w:left w:val="single" w:color="000000" w:sz="4" w:space="0"/>
              <w:bottom w:val="single" w:color="000000" w:sz="4" w:space="0"/>
              <w:right w:val="single" w:color="000000" w:sz="4" w:space="0"/>
            </w:tcBorders>
          </w:tcPr>
          <w:p>
            <w:pPr>
              <w:pStyle w:val="28"/>
              <w:widowControl/>
              <w:textAlignment w:val="top"/>
              <w:rPr>
                <w:sz w:val="18"/>
                <w:szCs w:val="18"/>
              </w:rPr>
            </w:pPr>
            <w:r>
              <w:rPr>
                <w:sz w:val="18"/>
                <w:szCs w:val="18"/>
              </w:rPr>
              <w:t>4. 项目管理和能力建设</w:t>
            </w:r>
          </w:p>
          <w:p>
            <w:pPr>
              <w:pStyle w:val="28"/>
              <w:widowControl/>
              <w:textAlignment w:val="top"/>
              <w:rPr>
                <w:sz w:val="18"/>
                <w:szCs w:val="18"/>
              </w:rPr>
            </w:pPr>
            <w:r>
              <w:rPr>
                <w:sz w:val="18"/>
                <w:szCs w:val="18"/>
              </w:rPr>
              <w:t xml:space="preserve">Project Management and Ability Building </w:t>
            </w:r>
          </w:p>
        </w:tc>
        <w:tc>
          <w:tcPr>
            <w:tcW w:w="1860"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5,513,700.00</w:t>
            </w:r>
          </w:p>
        </w:tc>
        <w:tc>
          <w:tcPr>
            <w:tcW w:w="1649"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1,467,333.43</w:t>
            </w:r>
          </w:p>
        </w:tc>
        <w:tc>
          <w:tcPr>
            <w:tcW w:w="1141"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26.61%</w:t>
            </w:r>
          </w:p>
        </w:tc>
        <w:tc>
          <w:tcPr>
            <w:tcW w:w="2055"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 xml:space="preserve">19,509,200.00 </w:t>
            </w:r>
          </w:p>
        </w:tc>
        <w:tc>
          <w:tcPr>
            <w:tcW w:w="1704"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2,462,987.55</w:t>
            </w:r>
          </w:p>
        </w:tc>
        <w:tc>
          <w:tcPr>
            <w:tcW w:w="1262" w:type="dxa"/>
            <w:tcBorders>
              <w:top w:val="single" w:color="000000" w:sz="4" w:space="0"/>
              <w:left w:val="nil"/>
              <w:bottom w:val="single" w:color="000000" w:sz="4" w:space="0"/>
              <w:right w:val="single" w:color="000000" w:sz="4" w:space="0"/>
            </w:tcBorders>
            <w:vAlign w:val="center"/>
          </w:tcPr>
          <w:p>
            <w:pPr>
              <w:widowControl/>
              <w:jc w:val="right"/>
              <w:textAlignment w:val="center"/>
              <w:rPr>
                <w:rFonts w:eastAsia="等线"/>
                <w:color w:val="000000"/>
                <w:kern w:val="0"/>
                <w:sz w:val="18"/>
                <w:szCs w:val="18"/>
                <w:lang w:bidi="ar"/>
              </w:rPr>
            </w:pPr>
            <w:r>
              <w:rPr>
                <w:rFonts w:eastAsia="等线"/>
                <w:color w:val="000000"/>
                <w:kern w:val="0"/>
                <w:sz w:val="18"/>
                <w:szCs w:val="18"/>
                <w:lang w:bidi="ar"/>
              </w:rPr>
              <w:t>12.62%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3116" w:type="dxa"/>
            <w:tcBorders>
              <w:top w:val="single" w:color="auto" w:sz="4" w:space="0"/>
              <w:left w:val="single" w:color="auto" w:sz="4" w:space="0"/>
              <w:bottom w:val="single" w:color="auto" w:sz="4" w:space="0"/>
              <w:right w:val="single" w:color="auto" w:sz="4" w:space="0"/>
            </w:tcBorders>
          </w:tcPr>
          <w:p>
            <w:pPr>
              <w:pStyle w:val="28"/>
              <w:widowControl/>
              <w:textAlignment w:val="top"/>
              <w:rPr>
                <w:b/>
                <w:bCs/>
                <w:kern w:val="0"/>
                <w:sz w:val="18"/>
                <w:szCs w:val="18"/>
              </w:rPr>
            </w:pPr>
            <w:r>
              <w:rPr>
                <w:b/>
                <w:bCs/>
                <w:kern w:val="0"/>
                <w:sz w:val="18"/>
                <w:szCs w:val="18"/>
              </w:rPr>
              <w:t xml:space="preserve">差异 </w:t>
            </w:r>
          </w:p>
          <w:p>
            <w:pPr>
              <w:pStyle w:val="28"/>
              <w:widowControl/>
              <w:textAlignment w:val="top"/>
              <w:rPr>
                <w:b/>
                <w:bCs/>
                <w:kern w:val="0"/>
                <w:sz w:val="18"/>
                <w:szCs w:val="18"/>
              </w:rPr>
            </w:pPr>
            <w:r>
              <w:rPr>
                <w:b/>
                <w:bCs/>
                <w:kern w:val="0"/>
                <w:sz w:val="18"/>
                <w:szCs w:val="18"/>
              </w:rPr>
              <w:t xml:space="preserve">Difference </w:t>
            </w:r>
          </w:p>
        </w:tc>
        <w:tc>
          <w:tcPr>
            <w:tcW w:w="1860" w:type="dxa"/>
            <w:tcBorders>
              <w:top w:val="single" w:color="auto" w:sz="4" w:space="0"/>
              <w:left w:val="nil"/>
              <w:bottom w:val="single" w:color="auto" w:sz="4" w:space="0"/>
              <w:right w:val="single" w:color="auto" w:sz="4" w:space="0"/>
            </w:tcBorders>
            <w:vAlign w:val="center"/>
          </w:tcPr>
          <w:p>
            <w:pPr>
              <w:jc w:val="right"/>
              <w:rPr>
                <w:b/>
                <w:bCs/>
                <w:kern w:val="0"/>
                <w:sz w:val="18"/>
                <w:szCs w:val="18"/>
              </w:rPr>
            </w:pPr>
            <w:r>
              <w:rPr>
                <w:rFonts w:hint="eastAsia" w:eastAsia="仿宋_GB2312"/>
                <w:b/>
                <w:bCs/>
                <w:kern w:val="0"/>
                <w:sz w:val="18"/>
                <w:szCs w:val="18"/>
              </w:rPr>
              <w:t>-</w:t>
            </w:r>
          </w:p>
        </w:tc>
        <w:tc>
          <w:tcPr>
            <w:tcW w:w="1649" w:type="dxa"/>
            <w:tcBorders>
              <w:top w:val="single" w:color="auto" w:sz="4" w:space="0"/>
              <w:left w:val="nil"/>
              <w:bottom w:val="single" w:color="auto" w:sz="4" w:space="0"/>
              <w:right w:val="single" w:color="auto" w:sz="4" w:space="0"/>
            </w:tcBorders>
            <w:vAlign w:val="center"/>
          </w:tcPr>
          <w:p>
            <w:pPr>
              <w:widowControl/>
              <w:jc w:val="right"/>
              <w:textAlignment w:val="center"/>
              <w:rPr>
                <w:b/>
                <w:bCs/>
                <w:color w:val="000000"/>
                <w:kern w:val="0"/>
                <w:sz w:val="18"/>
                <w:szCs w:val="18"/>
                <w:lang w:bidi="ar"/>
              </w:rPr>
            </w:pPr>
            <w:r>
              <w:rPr>
                <w:b/>
                <w:bCs/>
                <w:color w:val="000000"/>
                <w:kern w:val="0"/>
                <w:sz w:val="18"/>
                <w:szCs w:val="18"/>
                <w:lang w:bidi="ar"/>
              </w:rPr>
              <w:t>-5,606,703.74</w:t>
            </w:r>
          </w:p>
        </w:tc>
        <w:tc>
          <w:tcPr>
            <w:tcW w:w="1141" w:type="dxa"/>
            <w:tcBorders>
              <w:top w:val="single" w:color="auto" w:sz="4" w:space="0"/>
              <w:left w:val="nil"/>
              <w:bottom w:val="single" w:color="auto" w:sz="4" w:space="0"/>
              <w:right w:val="single" w:color="auto" w:sz="4" w:space="0"/>
            </w:tcBorders>
            <w:vAlign w:val="center"/>
          </w:tcPr>
          <w:p>
            <w:pPr>
              <w:jc w:val="right"/>
              <w:rPr>
                <w:b/>
                <w:bCs/>
                <w:kern w:val="0"/>
                <w:sz w:val="18"/>
                <w:szCs w:val="18"/>
              </w:rPr>
            </w:pPr>
            <w:r>
              <w:rPr>
                <w:rFonts w:hint="eastAsia" w:eastAsia="仿宋_GB2312"/>
                <w:b/>
                <w:bCs/>
                <w:kern w:val="0"/>
                <w:sz w:val="18"/>
                <w:szCs w:val="18"/>
              </w:rPr>
              <w:t>-</w:t>
            </w:r>
          </w:p>
        </w:tc>
        <w:tc>
          <w:tcPr>
            <w:tcW w:w="2055" w:type="dxa"/>
            <w:tcBorders>
              <w:top w:val="single" w:color="auto" w:sz="4" w:space="0"/>
              <w:left w:val="nil"/>
              <w:bottom w:val="single" w:color="auto" w:sz="4" w:space="0"/>
              <w:right w:val="single" w:color="auto" w:sz="4" w:space="0"/>
            </w:tcBorders>
            <w:vAlign w:val="center"/>
          </w:tcPr>
          <w:p>
            <w:pPr>
              <w:jc w:val="right"/>
              <w:rPr>
                <w:b/>
                <w:bCs/>
                <w:kern w:val="0"/>
                <w:sz w:val="18"/>
                <w:szCs w:val="18"/>
              </w:rPr>
            </w:pPr>
            <w:r>
              <w:rPr>
                <w:rFonts w:hint="eastAsia" w:eastAsia="仿宋_GB2312"/>
                <w:b/>
                <w:bCs/>
                <w:kern w:val="0"/>
                <w:sz w:val="18"/>
                <w:szCs w:val="18"/>
              </w:rPr>
              <w:t>-</w:t>
            </w:r>
          </w:p>
        </w:tc>
        <w:tc>
          <w:tcPr>
            <w:tcW w:w="1704" w:type="dxa"/>
            <w:tcBorders>
              <w:top w:val="single" w:color="auto" w:sz="4" w:space="0"/>
              <w:left w:val="nil"/>
              <w:bottom w:val="single" w:color="auto" w:sz="4" w:space="0"/>
              <w:right w:val="single" w:color="auto" w:sz="4" w:space="0"/>
            </w:tcBorders>
            <w:vAlign w:val="center"/>
          </w:tcPr>
          <w:p>
            <w:pPr>
              <w:widowControl/>
              <w:jc w:val="right"/>
              <w:textAlignment w:val="center"/>
              <w:rPr>
                <w:b/>
                <w:bCs/>
                <w:color w:val="000000"/>
                <w:kern w:val="0"/>
                <w:sz w:val="18"/>
                <w:szCs w:val="18"/>
                <w:lang w:bidi="ar"/>
              </w:rPr>
            </w:pPr>
            <w:r>
              <w:rPr>
                <w:b/>
                <w:bCs/>
                <w:color w:val="000000"/>
                <w:kern w:val="0"/>
                <w:sz w:val="18"/>
                <w:szCs w:val="18"/>
                <w:lang w:bidi="ar"/>
              </w:rPr>
              <w:t>19,969,046.90</w:t>
            </w:r>
          </w:p>
        </w:tc>
        <w:tc>
          <w:tcPr>
            <w:tcW w:w="1262" w:type="dxa"/>
            <w:tcBorders>
              <w:top w:val="single" w:color="auto" w:sz="4" w:space="0"/>
              <w:left w:val="nil"/>
              <w:bottom w:val="single" w:color="auto" w:sz="4" w:space="0"/>
              <w:right w:val="single" w:color="auto" w:sz="4" w:space="0"/>
            </w:tcBorders>
            <w:vAlign w:val="center"/>
          </w:tcPr>
          <w:p>
            <w:pPr>
              <w:jc w:val="right"/>
              <w:rPr>
                <w:b/>
                <w:bCs/>
                <w:kern w:val="0"/>
                <w:sz w:val="18"/>
                <w:szCs w:val="18"/>
              </w:rPr>
            </w:pPr>
            <w:r>
              <w:rPr>
                <w:rFonts w:hint="eastAsia" w:eastAsia="仿宋_GB2312"/>
                <w:b/>
                <w:bCs/>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3116" w:type="dxa"/>
            <w:tcBorders>
              <w:top w:val="single" w:color="auto" w:sz="4" w:space="0"/>
              <w:left w:val="single" w:color="auto" w:sz="4" w:space="0"/>
              <w:bottom w:val="single" w:color="auto" w:sz="4" w:space="0"/>
              <w:right w:val="single" w:color="auto" w:sz="4" w:space="0"/>
            </w:tcBorders>
          </w:tcPr>
          <w:p>
            <w:pPr>
              <w:pStyle w:val="28"/>
              <w:widowControl/>
              <w:textAlignment w:val="top"/>
              <w:rPr>
                <w:kern w:val="0"/>
                <w:sz w:val="18"/>
                <w:szCs w:val="18"/>
              </w:rPr>
            </w:pPr>
            <w:r>
              <w:rPr>
                <w:kern w:val="0"/>
                <w:sz w:val="18"/>
                <w:szCs w:val="18"/>
              </w:rPr>
              <w:t xml:space="preserve">1. 应收款变化 </w:t>
            </w:r>
          </w:p>
          <w:p>
            <w:pPr>
              <w:pStyle w:val="28"/>
              <w:widowControl/>
              <w:textAlignment w:val="top"/>
              <w:rPr>
                <w:kern w:val="0"/>
                <w:sz w:val="18"/>
                <w:szCs w:val="18"/>
              </w:rPr>
            </w:pPr>
            <w:r>
              <w:rPr>
                <w:kern w:val="0"/>
                <w:sz w:val="18"/>
                <w:szCs w:val="18"/>
              </w:rPr>
              <w:t xml:space="preserve">Change in Receivables </w:t>
            </w:r>
          </w:p>
        </w:tc>
        <w:tc>
          <w:tcPr>
            <w:tcW w:w="1860"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649"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4,890,202.24</w:t>
            </w:r>
          </w:p>
        </w:tc>
        <w:tc>
          <w:tcPr>
            <w:tcW w:w="1141"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2055"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704"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4,890,202.24</w:t>
            </w:r>
          </w:p>
        </w:tc>
        <w:tc>
          <w:tcPr>
            <w:tcW w:w="1262"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3116" w:type="dxa"/>
            <w:tcBorders>
              <w:top w:val="single" w:color="auto" w:sz="4" w:space="0"/>
              <w:left w:val="single" w:color="auto" w:sz="4" w:space="0"/>
              <w:bottom w:val="single" w:color="auto" w:sz="4" w:space="0"/>
              <w:right w:val="single" w:color="auto" w:sz="4" w:space="0"/>
            </w:tcBorders>
            <w:vAlign w:val="bottom"/>
          </w:tcPr>
          <w:p>
            <w:pPr>
              <w:pStyle w:val="28"/>
              <w:widowControl/>
              <w:textAlignment w:val="top"/>
              <w:rPr>
                <w:kern w:val="0"/>
                <w:sz w:val="18"/>
                <w:szCs w:val="18"/>
              </w:rPr>
            </w:pPr>
            <w:r>
              <w:rPr>
                <w:kern w:val="0"/>
                <w:sz w:val="18"/>
                <w:szCs w:val="18"/>
              </w:rPr>
              <w:t xml:space="preserve">2. 应付款变化 </w:t>
            </w:r>
          </w:p>
          <w:p>
            <w:pPr>
              <w:pStyle w:val="28"/>
              <w:widowControl/>
              <w:textAlignment w:val="top"/>
              <w:rPr>
                <w:kern w:val="0"/>
                <w:sz w:val="18"/>
                <w:szCs w:val="18"/>
              </w:rPr>
            </w:pPr>
            <w:r>
              <w:rPr>
                <w:kern w:val="0"/>
                <w:sz w:val="18"/>
                <w:szCs w:val="18"/>
              </w:rPr>
              <w:t xml:space="preserve">Change in Payables </w:t>
            </w:r>
          </w:p>
        </w:tc>
        <w:tc>
          <w:tcPr>
            <w:tcW w:w="1860"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649"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-4,979,876.25</w:t>
            </w:r>
          </w:p>
        </w:tc>
        <w:tc>
          <w:tcPr>
            <w:tcW w:w="1141"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2055"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704"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-11,036,832.33</w:t>
            </w:r>
          </w:p>
        </w:tc>
        <w:tc>
          <w:tcPr>
            <w:tcW w:w="1262"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3116" w:type="dxa"/>
            <w:tcBorders>
              <w:top w:val="single" w:color="auto" w:sz="4" w:space="0"/>
              <w:left w:val="single" w:color="auto" w:sz="4" w:space="0"/>
              <w:bottom w:val="single" w:color="auto" w:sz="4" w:space="0"/>
              <w:right w:val="single" w:color="auto" w:sz="4" w:space="0"/>
            </w:tcBorders>
            <w:vAlign w:val="bottom"/>
          </w:tcPr>
          <w:p>
            <w:pPr>
              <w:pStyle w:val="28"/>
              <w:widowControl/>
              <w:textAlignment w:val="top"/>
              <w:rPr>
                <w:kern w:val="0"/>
                <w:sz w:val="18"/>
                <w:szCs w:val="18"/>
              </w:rPr>
            </w:pPr>
            <w:r>
              <w:rPr>
                <w:kern w:val="0"/>
                <w:sz w:val="18"/>
                <w:szCs w:val="18"/>
              </w:rPr>
              <w:t xml:space="preserve">3. 货币资金变化 </w:t>
            </w:r>
          </w:p>
          <w:p>
            <w:pPr>
              <w:pStyle w:val="28"/>
              <w:widowControl/>
              <w:textAlignment w:val="top"/>
              <w:rPr>
                <w:kern w:val="0"/>
                <w:sz w:val="18"/>
                <w:szCs w:val="18"/>
              </w:rPr>
            </w:pPr>
            <w:r>
              <w:rPr>
                <w:rFonts w:hint="eastAsia"/>
                <w:kern w:val="0"/>
                <w:sz w:val="18"/>
                <w:szCs w:val="18"/>
              </w:rPr>
              <w:t xml:space="preserve"> </w:t>
            </w:r>
            <w:r>
              <w:rPr>
                <w:kern w:val="0"/>
                <w:sz w:val="18"/>
                <w:szCs w:val="18"/>
              </w:rPr>
              <w:t xml:space="preserve">Change in Cash and Bank </w:t>
            </w:r>
          </w:p>
        </w:tc>
        <w:tc>
          <w:tcPr>
            <w:tcW w:w="1860"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649"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-5,514,239.61</w:t>
            </w:r>
          </w:p>
        </w:tc>
        <w:tc>
          <w:tcPr>
            <w:tcW w:w="1141"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2055"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704"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26,119,044.89</w:t>
            </w:r>
          </w:p>
        </w:tc>
        <w:tc>
          <w:tcPr>
            <w:tcW w:w="1262"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3116" w:type="dxa"/>
            <w:tcBorders>
              <w:top w:val="single" w:color="auto" w:sz="4" w:space="0"/>
              <w:left w:val="single" w:color="auto" w:sz="4" w:space="0"/>
              <w:bottom w:val="single" w:color="auto" w:sz="4" w:space="0"/>
              <w:right w:val="single" w:color="auto" w:sz="4" w:space="0"/>
            </w:tcBorders>
            <w:vAlign w:val="bottom"/>
          </w:tcPr>
          <w:p>
            <w:pPr>
              <w:pStyle w:val="28"/>
              <w:widowControl/>
              <w:textAlignment w:val="top"/>
              <w:rPr>
                <w:kern w:val="0"/>
                <w:sz w:val="18"/>
                <w:szCs w:val="18"/>
              </w:rPr>
            </w:pPr>
            <w:r>
              <w:rPr>
                <w:kern w:val="0"/>
                <w:sz w:val="18"/>
                <w:szCs w:val="18"/>
              </w:rPr>
              <w:t xml:space="preserve">4. 其他 </w:t>
            </w:r>
          </w:p>
          <w:p>
            <w:pPr>
              <w:pStyle w:val="28"/>
              <w:widowControl/>
              <w:textAlignment w:val="top"/>
              <w:rPr>
                <w:kern w:val="0"/>
                <w:sz w:val="18"/>
                <w:szCs w:val="18"/>
              </w:rPr>
            </w:pPr>
            <w:r>
              <w:rPr>
                <w:kern w:val="0"/>
                <w:sz w:val="18"/>
                <w:szCs w:val="18"/>
              </w:rPr>
              <w:t xml:space="preserve">Others </w:t>
            </w:r>
          </w:p>
        </w:tc>
        <w:tc>
          <w:tcPr>
            <w:tcW w:w="1860"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649"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-2,790.12</w:t>
            </w:r>
          </w:p>
        </w:tc>
        <w:tc>
          <w:tcPr>
            <w:tcW w:w="1141"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2055"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c>
          <w:tcPr>
            <w:tcW w:w="1704" w:type="dxa"/>
            <w:tcBorders>
              <w:top w:val="single" w:color="auto" w:sz="4" w:space="0"/>
              <w:left w:val="nil"/>
              <w:bottom w:val="single" w:color="auto" w:sz="4" w:space="0"/>
              <w:right w:val="single" w:color="auto" w:sz="4" w:space="0"/>
            </w:tcBorders>
            <w:vAlign w:val="center"/>
          </w:tcPr>
          <w:p>
            <w:pPr>
              <w:widowControl/>
              <w:jc w:val="right"/>
              <w:textAlignment w:val="center"/>
              <w:rPr>
                <w:color w:val="000000"/>
                <w:kern w:val="0"/>
                <w:sz w:val="18"/>
                <w:szCs w:val="18"/>
                <w:lang w:bidi="ar"/>
              </w:rPr>
            </w:pPr>
            <w:r>
              <w:rPr>
                <w:color w:val="000000"/>
                <w:kern w:val="0"/>
                <w:sz w:val="18"/>
                <w:szCs w:val="18"/>
                <w:lang w:bidi="ar"/>
              </w:rPr>
              <w:t xml:space="preserve">-3,367.90 </w:t>
            </w:r>
          </w:p>
        </w:tc>
        <w:tc>
          <w:tcPr>
            <w:tcW w:w="1262" w:type="dxa"/>
            <w:tcBorders>
              <w:top w:val="single" w:color="auto" w:sz="4" w:space="0"/>
              <w:left w:val="nil"/>
              <w:bottom w:val="single" w:color="auto" w:sz="4" w:space="0"/>
              <w:right w:val="single" w:color="auto" w:sz="4" w:space="0"/>
            </w:tcBorders>
            <w:vAlign w:val="center"/>
          </w:tcPr>
          <w:p>
            <w:pPr>
              <w:jc w:val="right"/>
              <w:rPr>
                <w:kern w:val="0"/>
                <w:sz w:val="18"/>
                <w:szCs w:val="18"/>
              </w:rPr>
            </w:pPr>
            <w:r>
              <w:rPr>
                <w:rFonts w:hint="eastAsia" w:eastAsia="仿宋_GB2312"/>
                <w:kern w:val="0"/>
                <w:sz w:val="18"/>
                <w:szCs w:val="18"/>
              </w:rPr>
              <w:t>-</w:t>
            </w:r>
          </w:p>
        </w:tc>
      </w:tr>
    </w:tbl>
    <w:p>
      <w:pPr>
        <w:widowControl/>
        <w:ind w:firstLine="643"/>
        <w:rPr>
          <w:rFonts w:eastAsia="仿宋_GB2312"/>
          <w:b/>
          <w:bCs/>
          <w:sz w:val="32"/>
          <w:szCs w:val="32"/>
        </w:rPr>
        <w:sectPr>
          <w:pgSz w:w="16840" w:h="11907" w:orient="landscape"/>
          <w:pgMar w:top="1588" w:right="2098" w:bottom="1474" w:left="1985" w:header="720" w:footer="720" w:gutter="0"/>
          <w:cols w:space="720" w:num="1"/>
          <w:docGrid w:type="lines" w:linePitch="312" w:charSpace="0"/>
        </w:sectPr>
      </w:pPr>
    </w:p>
    <w:p>
      <w:pPr>
        <w:pStyle w:val="24"/>
        <w:outlineLvl w:val="1"/>
      </w:pPr>
      <w:bookmarkStart w:id="9" w:name="_Toc106960370"/>
      <w:r>
        <w:t>项目进度表（二）</w:t>
      </w:r>
      <w:bookmarkEnd w:id="9"/>
    </w:p>
    <w:p>
      <w:pPr>
        <w:pStyle w:val="55"/>
        <w:rPr>
          <w:rFonts w:ascii="Times New Roman" w:hAnsi="Times New Roman" w:cs="Times New Roman"/>
          <w:b/>
          <w:bCs/>
          <w:snapToGrid w:val="0"/>
          <w:kern w:val="0"/>
          <w:sz w:val="32"/>
          <w:szCs w:val="32"/>
          <w:highlight w:val="none"/>
          <w:lang w:val="en-US" w:eastAsia="zh-CN" w:bidi="ar-SA"/>
        </w:rPr>
      </w:pPr>
      <w:r>
        <w:rPr>
          <w:rFonts w:ascii="Times New Roman" w:hAnsi="Times New Roman" w:cs="Times New Roman"/>
          <w:b/>
          <w:bCs/>
          <w:snapToGrid w:val="0"/>
          <w:kern w:val="0"/>
          <w:sz w:val="32"/>
          <w:szCs w:val="32"/>
          <w:highlight w:val="none"/>
          <w:lang w:val="en-US" w:eastAsia="zh-CN" w:bidi="ar-SA"/>
        </w:rPr>
        <w:t xml:space="preserve">SUMMARY OF SOURCES AND USES OF FUNDS </w:t>
      </w:r>
    </w:p>
    <w:p>
      <w:pPr>
        <w:pStyle w:val="24"/>
        <w:outlineLvl w:val="1"/>
      </w:pPr>
      <w:r>
        <w:rPr>
          <w:rFonts w:ascii="Times New Roman" w:hAnsi="Times New Roman" w:cs="Times New Roman"/>
          <w:b/>
          <w:bCs/>
          <w:snapToGrid w:val="0"/>
          <w:kern w:val="0"/>
          <w:sz w:val="32"/>
          <w:szCs w:val="32"/>
          <w:highlight w:val="none"/>
          <w:lang w:val="en-US" w:eastAsia="zh-CN" w:bidi="ar-SA"/>
        </w:rPr>
        <w:t>BY PROJECT COMPONENT Ⅱ</w:t>
      </w:r>
      <w:r>
        <w:t xml:space="preserve"> </w:t>
      </w:r>
    </w:p>
    <w:p>
      <w:pPr>
        <w:pStyle w:val="25"/>
      </w:pPr>
      <w:r>
        <w:t>本期截至2021年12月31日</w:t>
      </w:r>
    </w:p>
    <w:p>
      <w:pPr>
        <w:pStyle w:val="25"/>
      </w:pPr>
      <w:r>
        <w:rPr>
          <w:rFonts w:hint="eastAsia"/>
          <w:lang w:eastAsia="zh-CN"/>
        </w:rPr>
        <w:t>（</w:t>
      </w:r>
      <w:r>
        <w:t>For the period ended December 31, 2021</w:t>
      </w:r>
      <w:r>
        <w:rPr>
          <w:rFonts w:hint="eastAsia"/>
          <w:lang w:eastAsia="zh-CN"/>
        </w:rPr>
        <w:t>）</w:t>
      </w:r>
      <w:r>
        <w:t xml:space="preserve"> </w:t>
      </w:r>
    </w:p>
    <w:p>
      <w:pPr>
        <w:pStyle w:val="25"/>
      </w:pPr>
    </w:p>
    <w:tbl>
      <w:tblPr>
        <w:tblStyle w:val="10"/>
        <w:tblW w:w="138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15"/>
        <w:gridCol w:w="1695"/>
        <w:gridCol w:w="1012"/>
        <w:gridCol w:w="924"/>
        <w:gridCol w:w="1038"/>
        <w:gridCol w:w="867"/>
        <w:gridCol w:w="1184"/>
        <w:gridCol w:w="1368"/>
        <w:gridCol w:w="1696"/>
        <w:gridCol w:w="13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0803" w:type="dxa"/>
            <w:gridSpan w:val="8"/>
            <w:tcBorders>
              <w:top w:val="nil"/>
              <w:left w:val="nil"/>
              <w:bottom w:val="nil"/>
              <w:right w:val="nil"/>
            </w:tcBorders>
            <w:vAlign w:val="center"/>
          </w:tcPr>
          <w:p>
            <w:pPr>
              <w:widowControl/>
              <w:jc w:val="left"/>
              <w:textAlignment w:val="center"/>
              <w:rPr>
                <w:rFonts w:eastAsia="仿宋"/>
              </w:rPr>
            </w:pPr>
            <w:r>
              <w:rPr>
                <w:rFonts w:eastAsia="仿宋"/>
              </w:rPr>
              <w:t xml:space="preserve"> 项目名称：亚洲开发银行贷款四川资阳绿色转型和发展项目 </w:t>
            </w:r>
          </w:p>
          <w:p>
            <w:pPr>
              <w:widowControl/>
              <w:jc w:val="left"/>
              <w:textAlignment w:val="center"/>
              <w:rPr>
                <w:rFonts w:eastAsia="仿宋"/>
              </w:rPr>
            </w:pPr>
            <w:r>
              <w:rPr>
                <w:rFonts w:eastAsia="仿宋"/>
              </w:rPr>
              <w:t xml:space="preserve">Project Name: Loan Project Financed by ADB for the Green Transformation and Development of Ziyang, Sichuan Province </w:t>
            </w:r>
          </w:p>
        </w:tc>
        <w:tc>
          <w:tcPr>
            <w:tcW w:w="3005" w:type="dxa"/>
            <w:gridSpan w:val="2"/>
            <w:tcBorders>
              <w:top w:val="nil"/>
              <w:left w:val="nil"/>
              <w:bottom w:val="nil"/>
              <w:right w:val="nil"/>
            </w:tcBorders>
            <w:vAlign w:val="center"/>
          </w:tcPr>
          <w:p>
            <w:pPr>
              <w:pStyle w:val="30"/>
              <w:widowControl/>
              <w:jc w:val="right"/>
              <w:textAlignment w:val="center"/>
              <w:rPr>
                <w:rFonts w:eastAsia="仿宋"/>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0803" w:type="dxa"/>
            <w:gridSpan w:val="8"/>
            <w:tcBorders>
              <w:top w:val="nil"/>
              <w:left w:val="nil"/>
              <w:bottom w:val="single" w:color="auto" w:sz="4" w:space="0"/>
              <w:right w:val="nil"/>
            </w:tcBorders>
            <w:vAlign w:val="center"/>
          </w:tcPr>
          <w:p>
            <w:pPr>
              <w:widowControl/>
              <w:jc w:val="left"/>
              <w:textAlignment w:val="center"/>
              <w:rPr>
                <w:rFonts w:eastAsia="仿宋"/>
              </w:rPr>
            </w:pPr>
            <w:r>
              <w:rPr>
                <w:rFonts w:eastAsia="仿宋"/>
              </w:rPr>
              <w:t xml:space="preserve"> 编报单位：亚洲开发银行贷款四川资阳绿色转型和发展项目办公室 </w:t>
            </w:r>
          </w:p>
          <w:p>
            <w:pPr>
              <w:widowControl/>
              <w:jc w:val="left"/>
              <w:textAlignment w:val="center"/>
              <w:rPr>
                <w:rFonts w:eastAsia="仿宋"/>
              </w:rPr>
            </w:pPr>
            <w:r>
              <w:rPr>
                <w:rFonts w:eastAsia="仿宋"/>
              </w:rPr>
              <w:t xml:space="preserve">Prepared by: Office of Loan Project Financed by ADB for the Green Transformation and Development of Ziyang, Sichuan Province </w:t>
            </w:r>
          </w:p>
        </w:tc>
        <w:tc>
          <w:tcPr>
            <w:tcW w:w="3005" w:type="dxa"/>
            <w:gridSpan w:val="2"/>
            <w:tcBorders>
              <w:top w:val="nil"/>
              <w:left w:val="nil"/>
              <w:bottom w:val="single" w:color="auto" w:sz="4" w:space="0"/>
              <w:right w:val="nil"/>
            </w:tcBorders>
            <w:vAlign w:val="center"/>
          </w:tcPr>
          <w:p>
            <w:pPr>
              <w:pStyle w:val="30"/>
              <w:widowControl/>
              <w:jc w:val="right"/>
              <w:textAlignment w:val="center"/>
              <w:rPr>
                <w:rFonts w:eastAsia="仿宋"/>
              </w:rPr>
            </w:pPr>
            <w:r>
              <w:rPr>
                <w:rFonts w:eastAsia="仿宋"/>
              </w:rPr>
              <w:t>货币单位：人民币元</w:t>
            </w:r>
          </w:p>
          <w:p>
            <w:pPr>
              <w:pStyle w:val="30"/>
              <w:widowControl/>
              <w:jc w:val="right"/>
              <w:textAlignment w:val="center"/>
              <w:rPr>
                <w:rFonts w:eastAsia="仿宋"/>
              </w:rPr>
            </w:pPr>
            <w:r>
              <w:rPr>
                <w:rFonts w:eastAsia="仿宋"/>
              </w:rPr>
              <w:t xml:space="preserve">Currency Unit: RMB yuan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vMerge w:val="restart"/>
            <w:tcBorders>
              <w:top w:val="single" w:color="auto" w:sz="4" w:space="0"/>
              <w:left w:val="single" w:color="auto" w:sz="4" w:space="0"/>
              <w:bottom w:val="single" w:color="auto" w:sz="4" w:space="0"/>
              <w:right w:val="single" w:color="auto" w:sz="4" w:space="0"/>
            </w:tcBorders>
            <w:vAlign w:val="center"/>
          </w:tcPr>
          <w:p>
            <w:pPr>
              <w:pStyle w:val="30"/>
              <w:widowControl/>
              <w:jc w:val="center"/>
              <w:textAlignment w:val="center"/>
              <w:rPr>
                <w:kern w:val="0"/>
                <w:sz w:val="18"/>
                <w:szCs w:val="18"/>
              </w:rPr>
            </w:pPr>
            <w:r>
              <w:rPr>
                <w:kern w:val="0"/>
                <w:sz w:val="18"/>
                <w:szCs w:val="18"/>
              </w:rPr>
              <w:t>项目内容</w:t>
            </w:r>
          </w:p>
          <w:p>
            <w:pPr>
              <w:pStyle w:val="30"/>
              <w:widowControl/>
              <w:jc w:val="center"/>
              <w:textAlignment w:val="center"/>
              <w:rPr>
                <w:kern w:val="0"/>
                <w:sz w:val="18"/>
                <w:szCs w:val="18"/>
              </w:rPr>
            </w:pPr>
            <w:r>
              <w:rPr>
                <w:kern w:val="0"/>
                <w:sz w:val="18"/>
                <w:szCs w:val="18"/>
              </w:rPr>
              <w:t xml:space="preserve">Project Component </w:t>
            </w:r>
          </w:p>
        </w:tc>
        <w:tc>
          <w:tcPr>
            <w:tcW w:w="11093" w:type="dxa"/>
            <w:gridSpan w:val="9"/>
            <w:tcBorders>
              <w:top w:val="single" w:color="auto" w:sz="4" w:space="0"/>
              <w:left w:val="single" w:color="auto" w:sz="4" w:space="0"/>
              <w:bottom w:val="single" w:color="auto" w:sz="4" w:space="0"/>
              <w:right w:val="single" w:color="auto" w:sz="4" w:space="0"/>
            </w:tcBorders>
            <w:vAlign w:val="center"/>
          </w:tcPr>
          <w:p>
            <w:pPr>
              <w:pStyle w:val="30"/>
              <w:widowControl/>
              <w:jc w:val="center"/>
              <w:textAlignment w:val="center"/>
              <w:rPr>
                <w:kern w:val="0"/>
                <w:sz w:val="18"/>
                <w:szCs w:val="18"/>
              </w:rPr>
            </w:pPr>
            <w:r>
              <w:rPr>
                <w:kern w:val="0"/>
                <w:sz w:val="18"/>
                <w:szCs w:val="18"/>
              </w:rPr>
              <w:t>项目支出</w:t>
            </w:r>
          </w:p>
          <w:p>
            <w:pPr>
              <w:pStyle w:val="30"/>
              <w:widowControl/>
              <w:jc w:val="center"/>
              <w:textAlignment w:val="center"/>
              <w:rPr>
                <w:kern w:val="0"/>
                <w:sz w:val="18"/>
                <w:szCs w:val="18"/>
              </w:rPr>
            </w:pPr>
            <w:r>
              <w:rPr>
                <w:kern w:val="0"/>
                <w:sz w:val="18"/>
                <w:szCs w:val="18"/>
              </w:rPr>
              <w:t xml:space="preserve">Project Expenditure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3" w:hRule="atLeast"/>
          <w:jc w:val="center"/>
        </w:trPr>
        <w:tc>
          <w:tcPr>
            <w:tcW w:w="2715" w:type="dxa"/>
            <w:vMerge w:val="continue"/>
            <w:tcBorders>
              <w:top w:val="single" w:color="auto" w:sz="4" w:space="0"/>
              <w:left w:val="single" w:color="auto" w:sz="4" w:space="0"/>
              <w:bottom w:val="single" w:color="auto" w:sz="4" w:space="0"/>
              <w:right w:val="single" w:color="000000" w:sz="4" w:space="0"/>
            </w:tcBorders>
            <w:vAlign w:val="center"/>
          </w:tcPr>
          <w:p>
            <w:pPr>
              <w:widowControl/>
              <w:ind w:firstLine="360"/>
              <w:rPr>
                <w:kern w:val="0"/>
                <w:sz w:val="18"/>
                <w:szCs w:val="18"/>
              </w:rPr>
            </w:pPr>
          </w:p>
        </w:tc>
        <w:tc>
          <w:tcPr>
            <w:tcW w:w="1695" w:type="dxa"/>
            <w:vMerge w:val="restart"/>
            <w:tcBorders>
              <w:top w:val="single" w:color="auto" w:sz="4" w:space="0"/>
              <w:left w:val="nil"/>
              <w:bottom w:val="single" w:color="auto" w:sz="4" w:space="0"/>
              <w:right w:val="single" w:color="000000" w:sz="4" w:space="0"/>
            </w:tcBorders>
            <w:vAlign w:val="center"/>
          </w:tcPr>
          <w:p>
            <w:pPr>
              <w:pStyle w:val="30"/>
              <w:widowControl/>
              <w:jc w:val="center"/>
              <w:textAlignment w:val="center"/>
              <w:rPr>
                <w:kern w:val="0"/>
                <w:sz w:val="18"/>
                <w:szCs w:val="18"/>
              </w:rPr>
            </w:pPr>
            <w:r>
              <w:rPr>
                <w:kern w:val="0"/>
                <w:sz w:val="18"/>
                <w:szCs w:val="18"/>
              </w:rPr>
              <w:t>累  计</w:t>
            </w:r>
          </w:p>
          <w:p>
            <w:pPr>
              <w:pStyle w:val="30"/>
              <w:widowControl/>
              <w:jc w:val="center"/>
              <w:textAlignment w:val="center"/>
              <w:rPr>
                <w:kern w:val="0"/>
                <w:sz w:val="18"/>
                <w:szCs w:val="18"/>
              </w:rPr>
            </w:pPr>
            <w:r>
              <w:rPr>
                <w:kern w:val="0"/>
                <w:sz w:val="18"/>
                <w:szCs w:val="18"/>
              </w:rPr>
              <w:t xml:space="preserve">Cumulative Amount </w:t>
            </w:r>
          </w:p>
        </w:tc>
        <w:tc>
          <w:tcPr>
            <w:tcW w:w="6393" w:type="dxa"/>
            <w:gridSpan w:val="6"/>
            <w:tcBorders>
              <w:top w:val="single" w:color="auto" w:sz="4" w:space="0"/>
              <w:left w:val="nil"/>
              <w:bottom w:val="single" w:color="auto" w:sz="4" w:space="0"/>
              <w:right w:val="single" w:color="000000" w:sz="4" w:space="0"/>
            </w:tcBorders>
            <w:vAlign w:val="center"/>
          </w:tcPr>
          <w:p>
            <w:pPr>
              <w:pStyle w:val="30"/>
              <w:widowControl/>
              <w:jc w:val="center"/>
              <w:textAlignment w:val="center"/>
              <w:rPr>
                <w:kern w:val="0"/>
                <w:sz w:val="18"/>
                <w:szCs w:val="18"/>
              </w:rPr>
            </w:pPr>
            <w:r>
              <w:rPr>
                <w:kern w:val="0"/>
                <w:sz w:val="18"/>
                <w:szCs w:val="18"/>
              </w:rPr>
              <w:t>交付使用资产</w:t>
            </w:r>
          </w:p>
          <w:p>
            <w:pPr>
              <w:pStyle w:val="30"/>
              <w:widowControl/>
              <w:jc w:val="center"/>
              <w:textAlignment w:val="center"/>
              <w:rPr>
                <w:kern w:val="0"/>
                <w:sz w:val="18"/>
                <w:szCs w:val="18"/>
              </w:rPr>
            </w:pPr>
            <w:r>
              <w:rPr>
                <w:kern w:val="0"/>
                <w:sz w:val="18"/>
                <w:szCs w:val="18"/>
              </w:rPr>
              <w:t xml:space="preserve">Fixed Assets Transferred </w:t>
            </w:r>
          </w:p>
        </w:tc>
        <w:tc>
          <w:tcPr>
            <w:tcW w:w="1696" w:type="dxa"/>
            <w:vMerge w:val="restart"/>
            <w:tcBorders>
              <w:top w:val="single" w:color="auto" w:sz="4" w:space="0"/>
              <w:left w:val="nil"/>
              <w:bottom w:val="single" w:color="auto" w:sz="4" w:space="0"/>
              <w:right w:val="single" w:color="000000" w:sz="4" w:space="0"/>
            </w:tcBorders>
            <w:vAlign w:val="center"/>
          </w:tcPr>
          <w:p>
            <w:pPr>
              <w:pStyle w:val="30"/>
              <w:widowControl/>
              <w:jc w:val="center"/>
              <w:textAlignment w:val="center"/>
              <w:rPr>
                <w:kern w:val="0"/>
                <w:sz w:val="18"/>
                <w:szCs w:val="18"/>
              </w:rPr>
            </w:pPr>
            <w:r>
              <w:rPr>
                <w:kern w:val="0"/>
                <w:sz w:val="18"/>
                <w:szCs w:val="18"/>
              </w:rPr>
              <w:t>在建工程</w:t>
            </w:r>
          </w:p>
          <w:p>
            <w:pPr>
              <w:pStyle w:val="30"/>
              <w:widowControl/>
              <w:jc w:val="center"/>
              <w:textAlignment w:val="center"/>
              <w:rPr>
                <w:kern w:val="0"/>
                <w:sz w:val="18"/>
                <w:szCs w:val="18"/>
              </w:rPr>
            </w:pPr>
            <w:r>
              <w:rPr>
                <w:kern w:val="0"/>
                <w:sz w:val="18"/>
                <w:szCs w:val="18"/>
              </w:rPr>
              <w:t xml:space="preserve">Projects under Construction </w:t>
            </w:r>
          </w:p>
        </w:tc>
        <w:tc>
          <w:tcPr>
            <w:tcW w:w="1309" w:type="dxa"/>
            <w:vMerge w:val="restart"/>
            <w:tcBorders>
              <w:top w:val="single" w:color="auto" w:sz="4" w:space="0"/>
              <w:left w:val="nil"/>
              <w:bottom w:val="single" w:color="auto" w:sz="4" w:space="0"/>
              <w:right w:val="single" w:color="000000" w:sz="4" w:space="0"/>
            </w:tcBorders>
            <w:vAlign w:val="center"/>
          </w:tcPr>
          <w:p>
            <w:pPr>
              <w:pStyle w:val="30"/>
              <w:widowControl/>
              <w:jc w:val="center"/>
              <w:textAlignment w:val="center"/>
              <w:rPr>
                <w:kern w:val="0"/>
                <w:sz w:val="18"/>
                <w:szCs w:val="18"/>
              </w:rPr>
            </w:pPr>
            <w:r>
              <w:rPr>
                <w:kern w:val="0"/>
                <w:sz w:val="18"/>
                <w:szCs w:val="18"/>
              </w:rPr>
              <w:t>其他支出</w:t>
            </w:r>
          </w:p>
          <w:p>
            <w:pPr>
              <w:pStyle w:val="30"/>
              <w:widowControl/>
              <w:jc w:val="center"/>
              <w:textAlignment w:val="center"/>
              <w:rPr>
                <w:kern w:val="0"/>
                <w:sz w:val="18"/>
                <w:szCs w:val="18"/>
              </w:rPr>
            </w:pPr>
            <w:r>
              <w:rPr>
                <w:kern w:val="0"/>
                <w:sz w:val="18"/>
                <w:szCs w:val="18"/>
              </w:rPr>
              <w:t xml:space="preserve">Other Expenditures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jc w:val="center"/>
        </w:trPr>
        <w:tc>
          <w:tcPr>
            <w:tcW w:w="2715" w:type="dxa"/>
            <w:vMerge w:val="continue"/>
            <w:tcBorders>
              <w:top w:val="single" w:color="auto" w:sz="4" w:space="0"/>
              <w:left w:val="single" w:color="auto" w:sz="4" w:space="0"/>
              <w:bottom w:val="single" w:color="000000" w:sz="4" w:space="0"/>
              <w:right w:val="single" w:color="000000" w:sz="4" w:space="0"/>
            </w:tcBorders>
            <w:vAlign w:val="center"/>
          </w:tcPr>
          <w:p>
            <w:pPr>
              <w:widowControl/>
              <w:ind w:firstLine="360"/>
              <w:jc w:val="left"/>
              <w:rPr>
                <w:kern w:val="0"/>
                <w:sz w:val="18"/>
                <w:szCs w:val="18"/>
              </w:rPr>
            </w:pPr>
          </w:p>
        </w:tc>
        <w:tc>
          <w:tcPr>
            <w:tcW w:w="1695" w:type="dxa"/>
            <w:vMerge w:val="continue"/>
            <w:tcBorders>
              <w:top w:val="single" w:color="auto" w:sz="4" w:space="0"/>
              <w:left w:val="nil"/>
              <w:bottom w:val="single" w:color="000000" w:sz="4" w:space="0"/>
              <w:right w:val="single" w:color="000000" w:sz="4" w:space="0"/>
            </w:tcBorders>
            <w:vAlign w:val="center"/>
          </w:tcPr>
          <w:p>
            <w:pPr>
              <w:widowControl/>
              <w:ind w:firstLine="360"/>
              <w:jc w:val="left"/>
              <w:rPr>
                <w:kern w:val="0"/>
                <w:sz w:val="18"/>
                <w:szCs w:val="18"/>
              </w:rPr>
            </w:pPr>
          </w:p>
        </w:tc>
        <w:tc>
          <w:tcPr>
            <w:tcW w:w="1012" w:type="dxa"/>
            <w:tcBorders>
              <w:top w:val="single" w:color="auto" w:sz="4" w:space="0"/>
              <w:left w:val="nil"/>
              <w:bottom w:val="single" w:color="000000" w:sz="4" w:space="0"/>
              <w:right w:val="single" w:color="000000" w:sz="4" w:space="0"/>
            </w:tcBorders>
            <w:vAlign w:val="center"/>
          </w:tcPr>
          <w:p>
            <w:pPr>
              <w:pStyle w:val="30"/>
              <w:widowControl/>
              <w:jc w:val="center"/>
              <w:textAlignment w:val="center"/>
              <w:rPr>
                <w:sz w:val="18"/>
                <w:szCs w:val="18"/>
              </w:rPr>
            </w:pPr>
            <w:r>
              <w:rPr>
                <w:sz w:val="18"/>
                <w:szCs w:val="18"/>
              </w:rPr>
              <w:t>固定资产</w:t>
            </w:r>
          </w:p>
          <w:p>
            <w:pPr>
              <w:pStyle w:val="30"/>
              <w:widowControl/>
              <w:jc w:val="center"/>
              <w:textAlignment w:val="center"/>
              <w:rPr>
                <w:sz w:val="18"/>
                <w:szCs w:val="18"/>
              </w:rPr>
            </w:pPr>
            <w:r>
              <w:rPr>
                <w:sz w:val="18"/>
                <w:szCs w:val="18"/>
              </w:rPr>
              <w:t xml:space="preserve">Fixed Assets </w:t>
            </w:r>
          </w:p>
        </w:tc>
        <w:tc>
          <w:tcPr>
            <w:tcW w:w="924" w:type="dxa"/>
            <w:tcBorders>
              <w:top w:val="single" w:color="auto" w:sz="4" w:space="0"/>
              <w:left w:val="nil"/>
              <w:bottom w:val="single" w:color="000000" w:sz="4" w:space="0"/>
              <w:right w:val="single" w:color="000000" w:sz="4" w:space="0"/>
            </w:tcBorders>
            <w:vAlign w:val="center"/>
          </w:tcPr>
          <w:p>
            <w:pPr>
              <w:pStyle w:val="30"/>
              <w:widowControl/>
              <w:jc w:val="center"/>
              <w:textAlignment w:val="center"/>
              <w:rPr>
                <w:sz w:val="18"/>
                <w:szCs w:val="18"/>
              </w:rPr>
            </w:pPr>
            <w:r>
              <w:rPr>
                <w:sz w:val="18"/>
                <w:szCs w:val="18"/>
              </w:rPr>
              <w:t>流动资</w:t>
            </w:r>
          </w:p>
          <w:p>
            <w:pPr>
              <w:pStyle w:val="30"/>
              <w:widowControl/>
              <w:jc w:val="center"/>
              <w:textAlignment w:val="center"/>
              <w:rPr>
                <w:sz w:val="18"/>
                <w:szCs w:val="18"/>
              </w:rPr>
            </w:pPr>
            <w:r>
              <w:rPr>
                <w:sz w:val="18"/>
                <w:szCs w:val="18"/>
              </w:rPr>
              <w:t xml:space="preserve">Current Assets </w:t>
            </w:r>
          </w:p>
        </w:tc>
        <w:tc>
          <w:tcPr>
            <w:tcW w:w="1038" w:type="dxa"/>
            <w:tcBorders>
              <w:top w:val="single" w:color="auto" w:sz="4" w:space="0"/>
              <w:left w:val="nil"/>
              <w:bottom w:val="single" w:color="000000" w:sz="4" w:space="0"/>
              <w:right w:val="single" w:color="000000" w:sz="4" w:space="0"/>
            </w:tcBorders>
            <w:vAlign w:val="center"/>
          </w:tcPr>
          <w:p>
            <w:pPr>
              <w:pStyle w:val="30"/>
              <w:widowControl/>
              <w:jc w:val="center"/>
              <w:textAlignment w:val="center"/>
              <w:rPr>
                <w:sz w:val="18"/>
                <w:szCs w:val="18"/>
              </w:rPr>
            </w:pPr>
            <w:r>
              <w:rPr>
                <w:sz w:val="18"/>
                <w:szCs w:val="18"/>
              </w:rPr>
              <w:t>无形资产</w:t>
            </w:r>
          </w:p>
          <w:p>
            <w:pPr>
              <w:pStyle w:val="30"/>
              <w:widowControl/>
              <w:jc w:val="center"/>
              <w:textAlignment w:val="center"/>
              <w:rPr>
                <w:sz w:val="18"/>
                <w:szCs w:val="18"/>
              </w:rPr>
            </w:pPr>
            <w:r>
              <w:rPr>
                <w:sz w:val="18"/>
                <w:szCs w:val="18"/>
              </w:rPr>
              <w:t xml:space="preserve">Intangible Assets </w:t>
            </w:r>
          </w:p>
        </w:tc>
        <w:tc>
          <w:tcPr>
            <w:tcW w:w="867" w:type="dxa"/>
            <w:tcBorders>
              <w:top w:val="single" w:color="auto" w:sz="4" w:space="0"/>
              <w:left w:val="nil"/>
              <w:bottom w:val="single" w:color="000000" w:sz="4" w:space="0"/>
              <w:right w:val="single" w:color="000000" w:sz="4" w:space="0"/>
            </w:tcBorders>
            <w:vAlign w:val="center"/>
          </w:tcPr>
          <w:p>
            <w:pPr>
              <w:pStyle w:val="30"/>
              <w:widowControl/>
              <w:jc w:val="center"/>
              <w:textAlignment w:val="center"/>
              <w:rPr>
                <w:sz w:val="18"/>
                <w:szCs w:val="18"/>
              </w:rPr>
            </w:pPr>
            <w:r>
              <w:rPr>
                <w:sz w:val="18"/>
                <w:szCs w:val="18"/>
              </w:rPr>
              <w:t>递延资</w:t>
            </w:r>
          </w:p>
          <w:p>
            <w:pPr>
              <w:pStyle w:val="30"/>
              <w:widowControl/>
              <w:jc w:val="center"/>
              <w:textAlignment w:val="center"/>
              <w:rPr>
                <w:sz w:val="18"/>
                <w:szCs w:val="18"/>
              </w:rPr>
            </w:pPr>
            <w:r>
              <w:rPr>
                <w:sz w:val="18"/>
                <w:szCs w:val="18"/>
              </w:rPr>
              <w:t xml:space="preserve">Deferred Assets </w:t>
            </w:r>
          </w:p>
        </w:tc>
        <w:tc>
          <w:tcPr>
            <w:tcW w:w="1184" w:type="dxa"/>
            <w:tcBorders>
              <w:top w:val="single" w:color="auto" w:sz="4" w:space="0"/>
              <w:left w:val="nil"/>
              <w:bottom w:val="single" w:color="000000" w:sz="4" w:space="0"/>
              <w:right w:val="single" w:color="000000" w:sz="4" w:space="0"/>
            </w:tcBorders>
            <w:vAlign w:val="center"/>
          </w:tcPr>
          <w:p>
            <w:pPr>
              <w:pStyle w:val="30"/>
              <w:widowControl/>
              <w:jc w:val="center"/>
              <w:textAlignment w:val="center"/>
              <w:rPr>
                <w:sz w:val="18"/>
                <w:szCs w:val="18"/>
              </w:rPr>
            </w:pPr>
            <w:r>
              <w:rPr>
                <w:sz w:val="18"/>
                <w:szCs w:val="18"/>
              </w:rPr>
              <w:t>管理费支</w:t>
            </w:r>
          </w:p>
          <w:p>
            <w:pPr>
              <w:pStyle w:val="30"/>
              <w:widowControl/>
              <w:jc w:val="center"/>
              <w:textAlignment w:val="center"/>
              <w:rPr>
                <w:sz w:val="18"/>
                <w:szCs w:val="18"/>
              </w:rPr>
            </w:pPr>
            <w:r>
              <w:rPr>
                <w:sz w:val="18"/>
                <w:szCs w:val="18"/>
              </w:rPr>
              <w:t xml:space="preserve">Administrative Expenditures </w:t>
            </w:r>
          </w:p>
        </w:tc>
        <w:tc>
          <w:tcPr>
            <w:tcW w:w="1368" w:type="dxa"/>
            <w:tcBorders>
              <w:top w:val="single" w:color="auto" w:sz="4" w:space="0"/>
              <w:left w:val="nil"/>
              <w:bottom w:val="single" w:color="000000" w:sz="4" w:space="0"/>
              <w:right w:val="single" w:color="000000" w:sz="4" w:space="0"/>
            </w:tcBorders>
            <w:vAlign w:val="center"/>
          </w:tcPr>
          <w:p>
            <w:pPr>
              <w:pStyle w:val="30"/>
              <w:widowControl/>
              <w:jc w:val="center"/>
              <w:textAlignment w:val="center"/>
              <w:rPr>
                <w:sz w:val="18"/>
                <w:szCs w:val="18"/>
              </w:rPr>
            </w:pPr>
            <w:r>
              <w:rPr>
                <w:sz w:val="18"/>
                <w:szCs w:val="18"/>
              </w:rPr>
              <w:t>息费及其他支</w:t>
            </w:r>
          </w:p>
          <w:p>
            <w:pPr>
              <w:pStyle w:val="30"/>
              <w:widowControl/>
              <w:jc w:val="center"/>
              <w:textAlignment w:val="center"/>
              <w:rPr>
                <w:sz w:val="18"/>
                <w:szCs w:val="18"/>
              </w:rPr>
            </w:pPr>
            <w:r>
              <w:rPr>
                <w:sz w:val="18"/>
                <w:szCs w:val="18"/>
              </w:rPr>
              <w:t xml:space="preserve">Interests and Other Expenditures </w:t>
            </w:r>
          </w:p>
        </w:tc>
        <w:tc>
          <w:tcPr>
            <w:tcW w:w="1696" w:type="dxa"/>
            <w:vMerge w:val="continue"/>
            <w:tcBorders>
              <w:top w:val="single" w:color="auto" w:sz="4" w:space="0"/>
              <w:left w:val="nil"/>
              <w:bottom w:val="single" w:color="000000" w:sz="4" w:space="0"/>
              <w:right w:val="single" w:color="000000" w:sz="4" w:space="0"/>
            </w:tcBorders>
            <w:vAlign w:val="center"/>
          </w:tcPr>
          <w:p>
            <w:pPr>
              <w:widowControl/>
              <w:ind w:firstLine="360"/>
              <w:jc w:val="left"/>
              <w:rPr>
                <w:kern w:val="0"/>
                <w:sz w:val="18"/>
                <w:szCs w:val="18"/>
              </w:rPr>
            </w:pPr>
          </w:p>
        </w:tc>
        <w:tc>
          <w:tcPr>
            <w:tcW w:w="1309" w:type="dxa"/>
            <w:vMerge w:val="continue"/>
            <w:tcBorders>
              <w:top w:val="single" w:color="auto" w:sz="4" w:space="0"/>
              <w:left w:val="nil"/>
              <w:bottom w:val="single" w:color="000000" w:sz="4" w:space="0"/>
              <w:right w:val="single" w:color="000000" w:sz="4" w:space="0"/>
            </w:tcBorders>
            <w:vAlign w:val="center"/>
          </w:tcPr>
          <w:p>
            <w:pPr>
              <w:widowControl/>
              <w:ind w:firstLine="360"/>
              <w:jc w:val="left"/>
              <w:rPr>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7"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1. 生态系统和环境基础设施建设</w:t>
            </w:r>
          </w:p>
          <w:p>
            <w:pPr>
              <w:pStyle w:val="30"/>
              <w:widowControl/>
              <w:textAlignment w:val="center"/>
              <w:rPr>
                <w:rFonts w:eastAsia="仿宋_GB2312"/>
                <w:sz w:val="18"/>
                <w:szCs w:val="18"/>
              </w:rPr>
            </w:pPr>
            <w:r>
              <w:rPr>
                <w:rFonts w:hint="eastAsia" w:eastAsia="仿宋_GB2312"/>
                <w:sz w:val="18"/>
                <w:szCs w:val="18"/>
              </w:rPr>
              <w:t xml:space="preserve"> </w:t>
            </w:r>
            <w:r>
              <w:rPr>
                <w:rFonts w:eastAsia="仿宋_GB2312"/>
                <w:sz w:val="18"/>
                <w:szCs w:val="18"/>
              </w:rPr>
              <w:t xml:space="preserve">Ecosystem and Environmental Infrastructure Building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43,825,405.02</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43,825,405.02</w:t>
            </w:r>
          </w:p>
        </w:tc>
        <w:tc>
          <w:tcPr>
            <w:tcW w:w="1309"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2"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1.1 城南滨江生态河堤</w:t>
            </w:r>
          </w:p>
          <w:p>
            <w:pPr>
              <w:pStyle w:val="30"/>
              <w:widowControl/>
              <w:textAlignment w:val="center"/>
              <w:rPr>
                <w:rFonts w:eastAsia="仿宋_GB2312"/>
                <w:sz w:val="18"/>
                <w:szCs w:val="18"/>
              </w:rPr>
            </w:pPr>
            <w:r>
              <w:rPr>
                <w:rFonts w:eastAsia="仿宋_GB2312"/>
                <w:sz w:val="18"/>
                <w:szCs w:val="18"/>
              </w:rPr>
              <w:t xml:space="preserve">South Binjiang Ecological River Levee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3,938,785.38</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3,938,785.38</w:t>
            </w:r>
          </w:p>
        </w:tc>
        <w:tc>
          <w:tcPr>
            <w:tcW w:w="1309"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1.2 高新区海绵化改造</w:t>
            </w:r>
          </w:p>
          <w:p>
            <w:pPr>
              <w:pStyle w:val="30"/>
              <w:widowControl/>
              <w:textAlignment w:val="center"/>
              <w:rPr>
                <w:rFonts w:eastAsia="仿宋_GB2312"/>
                <w:sz w:val="18"/>
                <w:szCs w:val="18"/>
              </w:rPr>
            </w:pPr>
            <w:r>
              <w:rPr>
                <w:rFonts w:eastAsia="仿宋_GB2312"/>
                <w:sz w:val="18"/>
                <w:szCs w:val="18"/>
              </w:rPr>
              <w:t xml:space="preserve">High-Tech Zone Sponge Renovation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136,304.25</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136,304.25</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1.3 雁南湖水环境治理及湿地修复</w:t>
            </w:r>
          </w:p>
          <w:p>
            <w:pPr>
              <w:pStyle w:val="30"/>
              <w:widowControl/>
              <w:textAlignment w:val="center"/>
              <w:rPr>
                <w:rFonts w:eastAsia="仿宋_GB2312"/>
                <w:sz w:val="18"/>
                <w:szCs w:val="18"/>
              </w:rPr>
            </w:pPr>
            <w:r>
              <w:rPr>
                <w:rFonts w:eastAsia="仿宋_GB2312"/>
                <w:sz w:val="18"/>
                <w:szCs w:val="18"/>
              </w:rPr>
              <w:t xml:space="preserve">Yannan Lake Water Environment Governance and Wetland Restoration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24,565,423.42</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24,565,423.42</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1.4 垃圾处理厂封场及生态恢复</w:t>
            </w:r>
          </w:p>
          <w:p>
            <w:pPr>
              <w:pStyle w:val="30"/>
              <w:widowControl/>
              <w:textAlignment w:val="center"/>
              <w:rPr>
                <w:rFonts w:eastAsia="仿宋_GB2312"/>
                <w:sz w:val="18"/>
                <w:szCs w:val="18"/>
              </w:rPr>
            </w:pPr>
            <w:r>
              <w:rPr>
                <w:rFonts w:eastAsia="仿宋_GB2312"/>
                <w:sz w:val="18"/>
                <w:szCs w:val="18"/>
              </w:rPr>
              <w:t xml:space="preserve">Refuse Processing Plant Closing and Ecosystem Restoration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2,877,742.93</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2,877,742.93</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6"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1.5 城南城市绿楔</w:t>
            </w:r>
          </w:p>
          <w:p>
            <w:pPr>
              <w:pStyle w:val="30"/>
              <w:widowControl/>
              <w:textAlignment w:val="center"/>
              <w:rPr>
                <w:rFonts w:eastAsia="仿宋_GB2312"/>
                <w:sz w:val="18"/>
                <w:szCs w:val="18"/>
              </w:rPr>
            </w:pPr>
            <w:r>
              <w:rPr>
                <w:rFonts w:eastAsia="仿宋_GB2312"/>
                <w:sz w:val="18"/>
                <w:szCs w:val="18"/>
              </w:rPr>
              <w:t xml:space="preserve">Southern City Wedge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3,420,761.75</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3,420,761.75</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1.6 高新区裸露山体生态修复</w:t>
            </w:r>
          </w:p>
          <w:p>
            <w:pPr>
              <w:pStyle w:val="30"/>
              <w:widowControl/>
              <w:textAlignment w:val="center"/>
              <w:rPr>
                <w:rFonts w:eastAsia="仿宋_GB2312"/>
                <w:sz w:val="18"/>
                <w:szCs w:val="18"/>
              </w:rPr>
            </w:pPr>
            <w:r>
              <w:rPr>
                <w:rFonts w:eastAsia="仿宋_GB2312"/>
                <w:sz w:val="18"/>
                <w:szCs w:val="18"/>
              </w:rPr>
              <w:t xml:space="preserve">High-tech Zone Bare Hill Ecosystem Restoration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8,886,387.29</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8,886,387.29</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2. 扩大经济部门的机会</w:t>
            </w:r>
          </w:p>
          <w:p>
            <w:pPr>
              <w:pStyle w:val="30"/>
              <w:widowControl/>
              <w:textAlignment w:val="center"/>
              <w:rPr>
                <w:rFonts w:eastAsia="仿宋_GB2312"/>
                <w:sz w:val="18"/>
                <w:szCs w:val="18"/>
              </w:rPr>
            </w:pPr>
            <w:r>
              <w:rPr>
                <w:rFonts w:eastAsia="仿宋_GB2312"/>
                <w:sz w:val="18"/>
                <w:szCs w:val="18"/>
              </w:rPr>
              <w:t xml:space="preserve">Economic Sector Opportunity Expanding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99,292,647.31</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99,292,647.31</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2.1 牙谷科创园公共研发孵化中心设备采购与平台建设</w:t>
            </w:r>
          </w:p>
          <w:p>
            <w:pPr>
              <w:pStyle w:val="30"/>
              <w:widowControl/>
              <w:textAlignment w:val="center"/>
              <w:rPr>
                <w:rFonts w:eastAsia="仿宋_GB2312"/>
                <w:sz w:val="18"/>
                <w:szCs w:val="18"/>
              </w:rPr>
            </w:pPr>
            <w:r>
              <w:rPr>
                <w:rFonts w:eastAsia="仿宋_GB2312"/>
                <w:sz w:val="18"/>
                <w:szCs w:val="18"/>
              </w:rPr>
              <w:t xml:space="preserve">2.1 Yagu High-tech Park Public R&amp;D Incubator Equipment Procurement and Platform Building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661,544.51</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661,544.51</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2.2 口腔装备材料检验中心设备采购</w:t>
            </w:r>
          </w:p>
          <w:p>
            <w:pPr>
              <w:pStyle w:val="30"/>
              <w:widowControl/>
              <w:textAlignment w:val="center"/>
              <w:rPr>
                <w:rFonts w:eastAsia="仿宋_GB2312"/>
                <w:sz w:val="18"/>
                <w:szCs w:val="18"/>
              </w:rPr>
            </w:pPr>
            <w:r>
              <w:rPr>
                <w:rFonts w:eastAsia="仿宋_GB2312"/>
                <w:sz w:val="18"/>
                <w:szCs w:val="18"/>
              </w:rPr>
              <w:t xml:space="preserve">Stomatologic Equipment and Material Inspection Center Equipment Procurement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500,627.70</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kern w:val="0"/>
                <w:sz w:val="18"/>
                <w:szCs w:val="18"/>
              </w:rPr>
            </w:pPr>
            <w:r>
              <w:rPr>
                <w:color w:val="000000"/>
                <w:kern w:val="0"/>
                <w:sz w:val="18"/>
                <w:szCs w:val="18"/>
                <w:lang w:bidi="ar"/>
              </w:rPr>
              <w:t>500,627.70</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0"/>
              <w:widowControl/>
              <w:textAlignment w:val="center"/>
              <w:rPr>
                <w:rFonts w:eastAsia="仿宋_GB2312"/>
                <w:sz w:val="18"/>
                <w:szCs w:val="18"/>
              </w:rPr>
            </w:pPr>
            <w:r>
              <w:rPr>
                <w:rFonts w:eastAsia="仿宋_GB2312"/>
                <w:sz w:val="18"/>
                <w:szCs w:val="18"/>
              </w:rPr>
              <w:t>2.3 职教中心转型升级</w:t>
            </w:r>
          </w:p>
          <w:p>
            <w:pPr>
              <w:pStyle w:val="30"/>
              <w:widowControl/>
              <w:textAlignment w:val="center"/>
              <w:rPr>
                <w:rFonts w:eastAsia="仿宋_GB2312"/>
                <w:sz w:val="18"/>
                <w:szCs w:val="18"/>
              </w:rPr>
            </w:pPr>
            <w:r>
              <w:rPr>
                <w:rFonts w:eastAsia="仿宋_GB2312"/>
                <w:sz w:val="18"/>
                <w:szCs w:val="18"/>
              </w:rPr>
              <w:t xml:space="preserve">Transformation and Upgrading of Vocational Education Center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98,130,475.10</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98,130,475.10</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1"/>
              <w:jc w:val="both"/>
              <w:rPr>
                <w:rFonts w:eastAsia="仿宋_GB2312"/>
                <w:sz w:val="18"/>
                <w:szCs w:val="18"/>
              </w:rPr>
            </w:pPr>
            <w:r>
              <w:rPr>
                <w:rFonts w:eastAsia="仿宋_GB2312"/>
                <w:sz w:val="18"/>
                <w:szCs w:val="18"/>
              </w:rPr>
              <w:t>3.加强城市发展规划和管理能力</w:t>
            </w:r>
          </w:p>
          <w:p>
            <w:pPr>
              <w:pStyle w:val="31"/>
              <w:jc w:val="both"/>
              <w:rPr>
                <w:rFonts w:eastAsia="仿宋_GB2312"/>
                <w:sz w:val="18"/>
                <w:szCs w:val="18"/>
              </w:rPr>
            </w:pPr>
            <w:r>
              <w:rPr>
                <w:rFonts w:eastAsia="仿宋_GB2312"/>
                <w:sz w:val="18"/>
                <w:szCs w:val="18"/>
              </w:rPr>
              <w:t xml:space="preserve">Urban Development Planning and Management Ability Building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427,371.50</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427,371.50</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1"/>
              <w:jc w:val="both"/>
              <w:rPr>
                <w:rFonts w:eastAsia="仿宋_GB2312"/>
                <w:sz w:val="18"/>
                <w:szCs w:val="18"/>
              </w:rPr>
            </w:pPr>
            <w:r>
              <w:rPr>
                <w:rFonts w:eastAsia="仿宋_GB2312"/>
                <w:sz w:val="18"/>
                <w:szCs w:val="18"/>
              </w:rPr>
              <w:t>3.1 高新区智慧园区项目</w:t>
            </w:r>
          </w:p>
          <w:p>
            <w:pPr>
              <w:pStyle w:val="31"/>
              <w:jc w:val="both"/>
              <w:rPr>
                <w:rFonts w:eastAsia="仿宋_GB2312"/>
                <w:sz w:val="18"/>
                <w:szCs w:val="18"/>
              </w:rPr>
            </w:pPr>
            <w:r>
              <w:rPr>
                <w:rFonts w:eastAsia="仿宋_GB2312"/>
                <w:sz w:val="18"/>
                <w:szCs w:val="18"/>
              </w:rPr>
              <w:t xml:space="preserve">High-tech Zone Smart Park Project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414,554.92</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414,554.92</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1"/>
              <w:jc w:val="both"/>
              <w:rPr>
                <w:rFonts w:eastAsia="仿宋_GB2312"/>
                <w:sz w:val="18"/>
                <w:szCs w:val="18"/>
              </w:rPr>
            </w:pPr>
            <w:r>
              <w:rPr>
                <w:rFonts w:eastAsia="仿宋_GB2312"/>
                <w:sz w:val="18"/>
                <w:szCs w:val="18"/>
              </w:rPr>
              <w:t>3.2 高新区绿色转型绩效监测评价系统</w:t>
            </w:r>
          </w:p>
          <w:p>
            <w:pPr>
              <w:pStyle w:val="31"/>
              <w:jc w:val="both"/>
              <w:rPr>
                <w:rFonts w:eastAsia="仿宋_GB2312"/>
                <w:sz w:val="18"/>
                <w:szCs w:val="18"/>
              </w:rPr>
            </w:pPr>
            <w:r>
              <w:rPr>
                <w:rFonts w:eastAsia="仿宋_GB2312"/>
                <w:sz w:val="18"/>
                <w:szCs w:val="18"/>
              </w:rPr>
              <w:t xml:space="preserve">High-tech Zone Green Transformation Performance Monitoring and Evaluation System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4,272.20</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4,272.20</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1"/>
              <w:jc w:val="both"/>
              <w:rPr>
                <w:rFonts w:eastAsia="仿宋_GB2312"/>
                <w:sz w:val="18"/>
                <w:szCs w:val="18"/>
              </w:rPr>
            </w:pPr>
            <w:r>
              <w:rPr>
                <w:rFonts w:eastAsia="仿宋_GB2312"/>
                <w:sz w:val="18"/>
                <w:szCs w:val="18"/>
              </w:rPr>
              <w:t>3.3 高新区城市绿色规划转型研究</w:t>
            </w:r>
          </w:p>
          <w:p>
            <w:pPr>
              <w:pStyle w:val="31"/>
              <w:jc w:val="both"/>
              <w:rPr>
                <w:rFonts w:eastAsia="仿宋_GB2312"/>
                <w:sz w:val="18"/>
                <w:szCs w:val="18"/>
              </w:rPr>
            </w:pPr>
            <w:r>
              <w:rPr>
                <w:rFonts w:eastAsia="仿宋_GB2312"/>
                <w:sz w:val="18"/>
                <w:szCs w:val="18"/>
              </w:rPr>
              <w:t xml:space="preserve">High-tech Zone Urban Green Planning Transformation Research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8,544.38</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8,544.38</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1"/>
              <w:jc w:val="both"/>
              <w:rPr>
                <w:rFonts w:eastAsia="仿宋_GB2312"/>
                <w:sz w:val="18"/>
                <w:szCs w:val="18"/>
              </w:rPr>
            </w:pPr>
            <w:r>
              <w:rPr>
                <w:rFonts w:eastAsia="仿宋_GB2312"/>
                <w:sz w:val="18"/>
                <w:szCs w:val="18"/>
              </w:rPr>
              <w:t>4. 项目管理和能力建设</w:t>
            </w:r>
          </w:p>
          <w:p>
            <w:pPr>
              <w:pStyle w:val="31"/>
              <w:jc w:val="both"/>
              <w:rPr>
                <w:rFonts w:eastAsia="仿宋_GB2312"/>
                <w:sz w:val="18"/>
                <w:szCs w:val="18"/>
              </w:rPr>
            </w:pPr>
            <w:r>
              <w:rPr>
                <w:rFonts w:eastAsia="仿宋_GB2312"/>
                <w:sz w:val="18"/>
                <w:szCs w:val="18"/>
              </w:rPr>
              <w:t xml:space="preserve">Project Management and Ability Building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2,462,987.55</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2,462,987.55</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11" w:hRule="atLeast"/>
          <w:jc w:val="center"/>
        </w:trPr>
        <w:tc>
          <w:tcPr>
            <w:tcW w:w="2715" w:type="dxa"/>
            <w:tcBorders>
              <w:top w:val="single" w:color="000000" w:sz="4" w:space="0"/>
              <w:left w:val="single" w:color="000000" w:sz="4" w:space="0"/>
              <w:bottom w:val="single" w:color="000000" w:sz="4" w:space="0"/>
              <w:right w:val="single" w:color="000000" w:sz="4" w:space="0"/>
            </w:tcBorders>
            <w:vAlign w:val="center"/>
          </w:tcPr>
          <w:p>
            <w:pPr>
              <w:pStyle w:val="31"/>
              <w:jc w:val="both"/>
              <w:rPr>
                <w:rFonts w:eastAsia="仿宋_GB2312"/>
                <w:sz w:val="18"/>
                <w:szCs w:val="18"/>
              </w:rPr>
            </w:pPr>
            <w:r>
              <w:rPr>
                <w:rFonts w:eastAsia="仿宋_GB2312"/>
                <w:sz w:val="18"/>
                <w:szCs w:val="18"/>
              </w:rPr>
              <w:t>合计</w:t>
            </w:r>
          </w:p>
          <w:p>
            <w:pPr>
              <w:pStyle w:val="31"/>
              <w:jc w:val="both"/>
              <w:rPr>
                <w:rFonts w:eastAsia="仿宋_GB2312"/>
                <w:sz w:val="18"/>
                <w:szCs w:val="18"/>
              </w:rPr>
            </w:pPr>
            <w:r>
              <w:rPr>
                <w:rFonts w:eastAsia="仿宋_GB2312"/>
                <w:sz w:val="18"/>
                <w:szCs w:val="18"/>
              </w:rPr>
              <w:t xml:space="preserve">Total </w:t>
            </w:r>
          </w:p>
        </w:tc>
        <w:tc>
          <w:tcPr>
            <w:tcW w:w="1695"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146,008,411.38</w:t>
            </w:r>
          </w:p>
        </w:tc>
        <w:tc>
          <w:tcPr>
            <w:tcW w:w="1012"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92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03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867"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184"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368" w:type="dxa"/>
            <w:tcBorders>
              <w:top w:val="single" w:color="000000" w:sz="4" w:space="0"/>
              <w:left w:val="nil"/>
              <w:bottom w:val="single" w:color="000000" w:sz="4" w:space="0"/>
              <w:right w:val="single" w:color="000000" w:sz="4" w:space="0"/>
            </w:tcBorders>
            <w:vAlign w:val="center"/>
          </w:tcPr>
          <w:p>
            <w:pPr>
              <w:pStyle w:val="30"/>
              <w:jc w:val="right"/>
              <w:rPr>
                <w:rFonts w:eastAsia="仿宋_GB2312"/>
                <w:sz w:val="18"/>
                <w:szCs w:val="18"/>
              </w:rPr>
            </w:pPr>
            <w:r>
              <w:rPr>
                <w:rFonts w:hint="eastAsia" w:eastAsia="仿宋_GB2312"/>
                <w:sz w:val="18"/>
                <w:szCs w:val="18"/>
              </w:rPr>
              <w:t>-</w:t>
            </w:r>
          </w:p>
        </w:tc>
        <w:tc>
          <w:tcPr>
            <w:tcW w:w="1696" w:type="dxa"/>
            <w:tcBorders>
              <w:top w:val="single" w:color="000000" w:sz="4" w:space="0"/>
              <w:left w:val="nil"/>
              <w:bottom w:val="single" w:color="000000" w:sz="4" w:space="0"/>
              <w:right w:val="single" w:color="000000" w:sz="4" w:space="0"/>
            </w:tcBorders>
            <w:vAlign w:val="center"/>
          </w:tcPr>
          <w:p>
            <w:pPr>
              <w:widowControl/>
              <w:jc w:val="right"/>
              <w:textAlignment w:val="bottom"/>
              <w:rPr>
                <w:rFonts w:eastAsia="仿宋_GB2312"/>
                <w:sz w:val="18"/>
                <w:szCs w:val="18"/>
              </w:rPr>
            </w:pPr>
            <w:r>
              <w:rPr>
                <w:color w:val="000000"/>
                <w:kern w:val="0"/>
                <w:sz w:val="18"/>
                <w:szCs w:val="18"/>
                <w:lang w:bidi="ar"/>
              </w:rPr>
              <w:t>146,008,411.38</w:t>
            </w:r>
          </w:p>
        </w:tc>
        <w:tc>
          <w:tcPr>
            <w:tcW w:w="1309" w:type="dxa"/>
            <w:tcBorders>
              <w:top w:val="single" w:color="000000" w:sz="4" w:space="0"/>
              <w:left w:val="nil"/>
              <w:bottom w:val="single" w:color="000000" w:sz="4" w:space="0"/>
              <w:right w:val="single" w:color="000000" w:sz="4" w:space="0"/>
            </w:tcBorders>
            <w:vAlign w:val="center"/>
          </w:tcPr>
          <w:p>
            <w:pPr>
              <w:pStyle w:val="30"/>
              <w:widowControl/>
              <w:jc w:val="right"/>
              <w:textAlignment w:val="center"/>
              <w:rPr>
                <w:rFonts w:eastAsia="仿宋_GB2312"/>
                <w:sz w:val="18"/>
                <w:szCs w:val="18"/>
              </w:rPr>
            </w:pPr>
            <w:r>
              <w:rPr>
                <w:rFonts w:hint="eastAsia" w:eastAsia="仿宋_GB2312"/>
                <w:sz w:val="18"/>
                <w:szCs w:val="18"/>
              </w:rPr>
              <w:t>-</w:t>
            </w:r>
          </w:p>
        </w:tc>
      </w:tr>
    </w:tbl>
    <w:p>
      <w:pPr>
        <w:widowControl/>
        <w:rPr>
          <w:rFonts w:eastAsia="仿宋_GB2312"/>
          <w:b/>
          <w:bCs/>
          <w:szCs w:val="28"/>
        </w:rPr>
        <w:sectPr>
          <w:pgSz w:w="16840" w:h="11907" w:orient="landscape"/>
          <w:pgMar w:top="2098" w:right="1474" w:bottom="1985" w:left="1588" w:header="720" w:footer="720" w:gutter="0"/>
          <w:cols w:space="720" w:num="1"/>
          <w:docGrid w:type="lines" w:linePitch="312" w:charSpace="0"/>
        </w:sectPr>
      </w:pPr>
    </w:p>
    <w:p>
      <w:pPr>
        <w:pStyle w:val="21"/>
        <w:keepLines w:val="0"/>
        <w:pageBreakBefore w:val="0"/>
        <w:kinsoku/>
        <w:wordWrap/>
        <w:overflowPunct/>
        <w:topLinePunct w:val="0"/>
        <w:bidi w:val="0"/>
        <w:spacing w:line="240" w:lineRule="auto"/>
        <w:rPr>
          <w:rFonts w:ascii="Times New Roman"/>
          <w:sz w:val="24"/>
          <w:szCs w:val="28"/>
        </w:rPr>
      </w:pPr>
      <w:bookmarkStart w:id="10" w:name="_Toc106960372"/>
      <w:r>
        <w:rPr>
          <w:rFonts w:ascii="Times New Roman"/>
          <w:sz w:val="24"/>
          <w:szCs w:val="28"/>
        </w:rPr>
        <w:t>（三）贷款协定执行情况表</w:t>
      </w:r>
      <w:bookmarkEnd w:id="10"/>
    </w:p>
    <w:p>
      <w:pPr>
        <w:pStyle w:val="21"/>
        <w:keepLines w:val="0"/>
        <w:pageBreakBefore w:val="0"/>
        <w:kinsoku/>
        <w:wordWrap/>
        <w:overflowPunct/>
        <w:topLinePunct w:val="0"/>
        <w:bidi w:val="0"/>
        <w:spacing w:line="240" w:lineRule="auto"/>
        <w:rPr>
          <w:rFonts w:ascii="Times New Roman"/>
          <w:sz w:val="24"/>
          <w:szCs w:val="28"/>
        </w:rPr>
      </w:pPr>
      <w:bookmarkStart w:id="11" w:name="_Toc106960373"/>
      <w:r>
        <w:rPr>
          <w:rFonts w:ascii="Times New Roman"/>
          <w:sz w:val="24"/>
          <w:szCs w:val="28"/>
        </w:rPr>
        <w:t>iii. Statement of Implementation of Loan Agreement</w:t>
      </w:r>
      <w:bookmarkEnd w:id="11"/>
      <w:r>
        <w:rPr>
          <w:rFonts w:ascii="Times New Roman"/>
          <w:sz w:val="24"/>
          <w:szCs w:val="28"/>
        </w:rPr>
        <w:t xml:space="preserve"> </w:t>
      </w:r>
    </w:p>
    <w:p>
      <w:pPr>
        <w:pStyle w:val="24"/>
        <w:keepLines w:val="0"/>
        <w:pageBreakBefore w:val="0"/>
        <w:kinsoku/>
        <w:wordWrap/>
        <w:overflowPunct/>
        <w:topLinePunct w:val="0"/>
        <w:bidi w:val="0"/>
        <w:spacing w:line="240" w:lineRule="auto"/>
        <w:outlineLvl w:val="1"/>
        <w:rPr>
          <w:sz w:val="28"/>
          <w:szCs w:val="28"/>
        </w:rPr>
      </w:pPr>
      <w:bookmarkStart w:id="12" w:name="_Toc106960374"/>
      <w:r>
        <w:rPr>
          <w:sz w:val="28"/>
          <w:szCs w:val="28"/>
        </w:rPr>
        <w:t>贷 款 协 定 执 行 情 况 表</w:t>
      </w:r>
      <w:bookmarkEnd w:id="12"/>
    </w:p>
    <w:p>
      <w:pPr>
        <w:pStyle w:val="25"/>
        <w:keepLines w:val="0"/>
        <w:pageBreakBefore w:val="0"/>
        <w:kinsoku/>
        <w:wordWrap/>
        <w:overflowPunct/>
        <w:topLinePunct w:val="0"/>
        <w:bidi w:val="0"/>
        <w:spacing w:line="240" w:lineRule="auto"/>
        <w:rPr>
          <w:rFonts w:ascii="Times New Roman" w:hAnsi="Times New Roman" w:cs="Times New Roman"/>
          <w:b/>
          <w:bCs/>
          <w:snapToGrid w:val="0"/>
          <w:kern w:val="0"/>
          <w:sz w:val="32"/>
          <w:szCs w:val="32"/>
          <w:highlight w:val="none"/>
          <w:lang w:val="en-US" w:eastAsia="zh-CN" w:bidi="ar-SA"/>
        </w:rPr>
      </w:pPr>
      <w:r>
        <w:rPr>
          <w:rFonts w:ascii="Times New Roman" w:hAnsi="Times New Roman" w:cs="Times New Roman"/>
          <w:b/>
          <w:bCs/>
          <w:snapToGrid w:val="0"/>
          <w:kern w:val="0"/>
          <w:sz w:val="32"/>
          <w:szCs w:val="32"/>
          <w:highlight w:val="none"/>
          <w:lang w:val="en-US" w:eastAsia="zh-CN" w:bidi="ar-SA"/>
        </w:rPr>
        <w:t>STATEMENT OF IMPLEMENTATION OF LOAN AGREEMENT</w:t>
      </w:r>
    </w:p>
    <w:p>
      <w:pPr>
        <w:pStyle w:val="25"/>
        <w:keepLines w:val="0"/>
        <w:pageBreakBefore w:val="0"/>
        <w:kinsoku/>
        <w:wordWrap/>
        <w:overflowPunct/>
        <w:topLinePunct w:val="0"/>
        <w:bidi w:val="0"/>
        <w:spacing w:line="240" w:lineRule="auto"/>
        <w:rPr>
          <w:sz w:val="20"/>
          <w:szCs w:val="24"/>
        </w:rPr>
      </w:pPr>
      <w:r>
        <w:rPr>
          <w:sz w:val="20"/>
          <w:szCs w:val="24"/>
        </w:rPr>
        <w:t>本期截至2021年12月31日</w:t>
      </w:r>
    </w:p>
    <w:p>
      <w:pPr>
        <w:pStyle w:val="25"/>
        <w:keepLines w:val="0"/>
        <w:pageBreakBefore w:val="0"/>
        <w:kinsoku/>
        <w:wordWrap/>
        <w:overflowPunct/>
        <w:topLinePunct w:val="0"/>
        <w:bidi w:val="0"/>
        <w:spacing w:line="240" w:lineRule="auto"/>
        <w:rPr>
          <w:sz w:val="20"/>
          <w:szCs w:val="24"/>
        </w:rPr>
      </w:pPr>
      <w:r>
        <w:rPr>
          <w:rFonts w:hint="eastAsia"/>
          <w:sz w:val="20"/>
          <w:szCs w:val="24"/>
          <w:lang w:eastAsia="zh-CN"/>
        </w:rPr>
        <w:t>（</w:t>
      </w:r>
      <w:r>
        <w:rPr>
          <w:sz w:val="20"/>
          <w:szCs w:val="24"/>
        </w:rPr>
        <w:t>For the period ended December 31, 2021</w:t>
      </w:r>
      <w:r>
        <w:rPr>
          <w:rFonts w:hint="eastAsia"/>
          <w:sz w:val="20"/>
          <w:szCs w:val="24"/>
          <w:lang w:eastAsia="zh-CN"/>
        </w:rPr>
        <w:t>）</w:t>
      </w:r>
      <w:r>
        <w:rPr>
          <w:sz w:val="20"/>
          <w:szCs w:val="24"/>
        </w:rPr>
        <w:t xml:space="preserve"> </w:t>
      </w:r>
    </w:p>
    <w:p>
      <w:pPr>
        <w:pStyle w:val="25"/>
        <w:keepLines w:val="0"/>
        <w:pageBreakBefore w:val="0"/>
        <w:kinsoku/>
        <w:wordWrap/>
        <w:overflowPunct/>
        <w:topLinePunct w:val="0"/>
        <w:bidi w:val="0"/>
        <w:spacing w:line="240" w:lineRule="auto"/>
        <w:rPr>
          <w:sz w:val="20"/>
          <w:szCs w:val="24"/>
        </w:rPr>
      </w:pPr>
    </w:p>
    <w:tbl>
      <w:tblPr>
        <w:tblStyle w:val="10"/>
        <w:tblW w:w="13838" w:type="dxa"/>
        <w:tblInd w:w="78" w:type="dxa"/>
        <w:tblLayout w:type="fixed"/>
        <w:tblCellMar>
          <w:top w:w="0" w:type="dxa"/>
          <w:left w:w="108" w:type="dxa"/>
          <w:bottom w:w="0" w:type="dxa"/>
          <w:right w:w="108" w:type="dxa"/>
        </w:tblCellMar>
      </w:tblPr>
      <w:tblGrid>
        <w:gridCol w:w="3058"/>
        <w:gridCol w:w="1998"/>
        <w:gridCol w:w="2117"/>
        <w:gridCol w:w="2245"/>
        <w:gridCol w:w="535"/>
        <w:gridCol w:w="1358"/>
        <w:gridCol w:w="2527"/>
      </w:tblGrid>
      <w:tr>
        <w:tblPrEx>
          <w:tblLayout w:type="fixed"/>
          <w:tblCellMar>
            <w:top w:w="0" w:type="dxa"/>
            <w:left w:w="108" w:type="dxa"/>
            <w:bottom w:w="0" w:type="dxa"/>
            <w:right w:w="108" w:type="dxa"/>
          </w:tblCellMar>
        </w:tblPrEx>
        <w:tc>
          <w:tcPr>
            <w:tcW w:w="9953" w:type="dxa"/>
            <w:gridSpan w:val="5"/>
          </w:tcPr>
          <w:p>
            <w:pPr>
              <w:pStyle w:val="11"/>
              <w:keepLines w:val="0"/>
              <w:pageBreakBefore w:val="0"/>
              <w:kinsoku/>
              <w:wordWrap/>
              <w:overflowPunct/>
              <w:topLinePunct w:val="0"/>
              <w:bidi w:val="0"/>
              <w:snapToGrid w:val="0"/>
              <w:spacing w:line="240" w:lineRule="auto"/>
              <w:rPr>
                <w:rFonts w:eastAsia="仿宋_GB2312"/>
                <w:sz w:val="20"/>
                <w:szCs w:val="18"/>
              </w:rPr>
            </w:pPr>
            <w:r>
              <w:rPr>
                <w:rFonts w:eastAsia="仿宋_GB2312"/>
                <w:sz w:val="20"/>
                <w:szCs w:val="18"/>
              </w:rPr>
              <w:t xml:space="preserve"> 项目名称：亚洲开发银行贷款四川资阳绿色转型和发展项目 </w:t>
            </w:r>
          </w:p>
          <w:p>
            <w:pPr>
              <w:pStyle w:val="11"/>
              <w:keepLines w:val="0"/>
              <w:pageBreakBefore w:val="0"/>
              <w:kinsoku/>
              <w:wordWrap/>
              <w:overflowPunct/>
              <w:topLinePunct w:val="0"/>
              <w:bidi w:val="0"/>
              <w:snapToGrid w:val="0"/>
              <w:spacing w:line="240" w:lineRule="auto"/>
              <w:rPr>
                <w:rFonts w:eastAsia="仿宋_GB2312"/>
                <w:sz w:val="20"/>
                <w:szCs w:val="18"/>
              </w:rPr>
            </w:pPr>
            <w:r>
              <w:rPr>
                <w:rFonts w:eastAsia="仿宋_GB2312"/>
                <w:sz w:val="20"/>
                <w:szCs w:val="18"/>
              </w:rPr>
              <w:t xml:space="preserve">Project Name: Loan Project Financed by ADB for the Green Transformation and Development of Ziyang, Sichuan Province </w:t>
            </w:r>
          </w:p>
        </w:tc>
        <w:tc>
          <w:tcPr>
            <w:tcW w:w="3885" w:type="dxa"/>
            <w:gridSpan w:val="2"/>
          </w:tcPr>
          <w:p>
            <w:pPr>
              <w:pStyle w:val="11"/>
              <w:keepLines w:val="0"/>
              <w:pageBreakBefore w:val="0"/>
              <w:kinsoku/>
              <w:wordWrap/>
              <w:overflowPunct/>
              <w:topLinePunct w:val="0"/>
              <w:bidi w:val="0"/>
              <w:snapToGrid w:val="0"/>
              <w:spacing w:line="240" w:lineRule="auto"/>
              <w:jc w:val="right"/>
              <w:rPr>
                <w:rFonts w:eastAsia="仿宋_GB2312"/>
                <w:sz w:val="20"/>
                <w:szCs w:val="18"/>
              </w:rPr>
            </w:pPr>
          </w:p>
        </w:tc>
      </w:tr>
      <w:tr>
        <w:tblPrEx>
          <w:tblLayout w:type="fixed"/>
          <w:tblCellMar>
            <w:top w:w="0" w:type="dxa"/>
            <w:left w:w="108" w:type="dxa"/>
            <w:bottom w:w="0" w:type="dxa"/>
            <w:right w:w="108" w:type="dxa"/>
          </w:tblCellMar>
        </w:tblPrEx>
        <w:tc>
          <w:tcPr>
            <w:tcW w:w="9953" w:type="dxa"/>
            <w:gridSpan w:val="5"/>
          </w:tcPr>
          <w:p>
            <w:pPr>
              <w:pStyle w:val="11"/>
              <w:keepLines w:val="0"/>
              <w:pageBreakBefore w:val="0"/>
              <w:kinsoku/>
              <w:wordWrap/>
              <w:overflowPunct/>
              <w:topLinePunct w:val="0"/>
              <w:bidi w:val="0"/>
              <w:snapToGrid w:val="0"/>
              <w:spacing w:line="240" w:lineRule="auto"/>
              <w:rPr>
                <w:rFonts w:eastAsia="仿宋_GB2312"/>
                <w:sz w:val="20"/>
                <w:szCs w:val="18"/>
              </w:rPr>
            </w:pPr>
            <w:r>
              <w:rPr>
                <w:rFonts w:eastAsia="仿宋_GB2312"/>
                <w:sz w:val="20"/>
                <w:szCs w:val="18"/>
              </w:rPr>
              <w:t xml:space="preserve"> 编报单位：亚洲开发银行贷款四川资阳绿色转型和发展项目办公室 </w:t>
            </w:r>
          </w:p>
          <w:p>
            <w:pPr>
              <w:pStyle w:val="11"/>
              <w:keepLines w:val="0"/>
              <w:pageBreakBefore w:val="0"/>
              <w:kinsoku/>
              <w:wordWrap/>
              <w:overflowPunct/>
              <w:topLinePunct w:val="0"/>
              <w:bidi w:val="0"/>
              <w:snapToGrid w:val="0"/>
              <w:spacing w:line="240" w:lineRule="auto"/>
              <w:rPr>
                <w:rFonts w:eastAsia="仿宋_GB2312"/>
                <w:sz w:val="20"/>
                <w:szCs w:val="18"/>
              </w:rPr>
            </w:pPr>
            <w:r>
              <w:rPr>
                <w:rFonts w:eastAsia="仿宋_GB2312"/>
                <w:sz w:val="20"/>
                <w:szCs w:val="18"/>
              </w:rPr>
              <w:t xml:space="preserve">Prepared by: Office of Loan Project Financed by ADB for the Green Transformation and Development of Ziyang, Sichuan Province </w:t>
            </w:r>
          </w:p>
        </w:tc>
        <w:tc>
          <w:tcPr>
            <w:tcW w:w="3885" w:type="dxa"/>
            <w:gridSpan w:val="2"/>
          </w:tcPr>
          <w:p>
            <w:pPr>
              <w:pStyle w:val="11"/>
              <w:keepLines w:val="0"/>
              <w:pageBreakBefore w:val="0"/>
              <w:kinsoku/>
              <w:wordWrap/>
              <w:overflowPunct/>
              <w:topLinePunct w:val="0"/>
              <w:bidi w:val="0"/>
              <w:snapToGrid w:val="0"/>
              <w:spacing w:line="240" w:lineRule="auto"/>
              <w:jc w:val="right"/>
              <w:rPr>
                <w:rFonts w:eastAsia="仿宋_GB2312"/>
                <w:sz w:val="20"/>
                <w:szCs w:val="18"/>
              </w:rPr>
            </w:pPr>
            <w:r>
              <w:rPr>
                <w:rFonts w:eastAsia="仿宋_GB2312"/>
                <w:sz w:val="20"/>
                <w:szCs w:val="18"/>
              </w:rPr>
              <w:t>货币单位：美元/人民币元</w:t>
            </w:r>
          </w:p>
          <w:p>
            <w:pPr>
              <w:pStyle w:val="11"/>
              <w:keepLines w:val="0"/>
              <w:pageBreakBefore w:val="0"/>
              <w:kinsoku/>
              <w:wordWrap/>
              <w:overflowPunct/>
              <w:topLinePunct w:val="0"/>
              <w:bidi w:val="0"/>
              <w:snapToGrid w:val="0"/>
              <w:spacing w:line="240" w:lineRule="auto"/>
              <w:jc w:val="right"/>
              <w:rPr>
                <w:rFonts w:eastAsia="仿宋_GB2312"/>
                <w:sz w:val="20"/>
                <w:szCs w:val="18"/>
              </w:rPr>
            </w:pPr>
            <w:r>
              <w:rPr>
                <w:rFonts w:eastAsia="仿宋_GB2312"/>
                <w:sz w:val="20"/>
                <w:szCs w:val="18"/>
              </w:rPr>
              <w:t xml:space="preserve">Currency Unit: USD / RMB yuan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3058" w:type="dxa"/>
            <w:vMerge w:val="restart"/>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b/>
                <w:bCs/>
                <w:sz w:val="16"/>
                <w:szCs w:val="16"/>
              </w:rPr>
            </w:pPr>
            <w:r>
              <w:rPr>
                <w:b/>
                <w:bCs/>
                <w:sz w:val="16"/>
                <w:szCs w:val="16"/>
              </w:rPr>
              <w:t>类            别</w:t>
            </w:r>
          </w:p>
          <w:p>
            <w:pPr>
              <w:pStyle w:val="30"/>
              <w:keepLines w:val="0"/>
              <w:pageBreakBefore w:val="0"/>
              <w:widowControl/>
              <w:kinsoku/>
              <w:wordWrap/>
              <w:overflowPunct/>
              <w:topLinePunct w:val="0"/>
              <w:bidi w:val="0"/>
              <w:spacing w:line="240" w:lineRule="auto"/>
              <w:jc w:val="center"/>
              <w:textAlignment w:val="center"/>
              <w:rPr>
                <w:b/>
                <w:bCs/>
                <w:sz w:val="16"/>
                <w:szCs w:val="16"/>
              </w:rPr>
            </w:pPr>
            <w:r>
              <w:rPr>
                <w:b/>
                <w:bCs/>
                <w:sz w:val="16"/>
                <w:szCs w:val="16"/>
              </w:rPr>
              <w:t xml:space="preserve">Category </w:t>
            </w:r>
          </w:p>
        </w:tc>
        <w:tc>
          <w:tcPr>
            <w:tcW w:w="1998" w:type="dxa"/>
            <w:vMerge w:val="restart"/>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b/>
                <w:bCs/>
                <w:kern w:val="0"/>
                <w:sz w:val="16"/>
                <w:szCs w:val="16"/>
              </w:rPr>
            </w:pPr>
            <w:r>
              <w:rPr>
                <w:b/>
                <w:bCs/>
                <w:kern w:val="0"/>
                <w:sz w:val="16"/>
                <w:szCs w:val="16"/>
              </w:rPr>
              <w:t>核定贷款金额</w:t>
            </w:r>
          </w:p>
          <w:p>
            <w:pPr>
              <w:pStyle w:val="30"/>
              <w:keepLines w:val="0"/>
              <w:pageBreakBefore w:val="0"/>
              <w:widowControl/>
              <w:kinsoku/>
              <w:wordWrap/>
              <w:overflowPunct/>
              <w:topLinePunct w:val="0"/>
              <w:bidi w:val="0"/>
              <w:spacing w:line="240" w:lineRule="auto"/>
              <w:jc w:val="center"/>
              <w:textAlignment w:val="center"/>
              <w:rPr>
                <w:b/>
                <w:bCs/>
                <w:kern w:val="0"/>
                <w:sz w:val="16"/>
                <w:szCs w:val="16"/>
              </w:rPr>
            </w:pPr>
            <w:r>
              <w:rPr>
                <w:b/>
                <w:bCs/>
                <w:kern w:val="0"/>
                <w:sz w:val="16"/>
                <w:szCs w:val="16"/>
              </w:rPr>
              <w:t xml:space="preserve">Loan Amount </w:t>
            </w:r>
          </w:p>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美元</w:t>
            </w:r>
          </w:p>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 xml:space="preserve">USD </w:t>
            </w:r>
          </w:p>
        </w:tc>
        <w:tc>
          <w:tcPr>
            <w:tcW w:w="4362"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b/>
                <w:bCs/>
                <w:sz w:val="16"/>
                <w:szCs w:val="16"/>
              </w:rPr>
            </w:pPr>
            <w:r>
              <w:rPr>
                <w:b/>
                <w:bCs/>
                <w:sz w:val="16"/>
                <w:szCs w:val="16"/>
              </w:rPr>
              <w:t>本年度提款数</w:t>
            </w:r>
          </w:p>
          <w:p>
            <w:pPr>
              <w:pStyle w:val="30"/>
              <w:keepLines w:val="0"/>
              <w:pageBreakBefore w:val="0"/>
              <w:widowControl/>
              <w:kinsoku/>
              <w:wordWrap/>
              <w:overflowPunct/>
              <w:topLinePunct w:val="0"/>
              <w:bidi w:val="0"/>
              <w:spacing w:line="240" w:lineRule="auto"/>
              <w:jc w:val="center"/>
              <w:textAlignment w:val="center"/>
              <w:rPr>
                <w:b/>
                <w:bCs/>
                <w:sz w:val="16"/>
                <w:szCs w:val="16"/>
              </w:rPr>
            </w:pPr>
            <w:r>
              <w:rPr>
                <w:b/>
                <w:bCs/>
                <w:sz w:val="16"/>
                <w:szCs w:val="16"/>
              </w:rPr>
              <w:t xml:space="preserve">Current-period Withdrawals </w:t>
            </w:r>
          </w:p>
        </w:tc>
        <w:tc>
          <w:tcPr>
            <w:tcW w:w="4420" w:type="dxa"/>
            <w:gridSpan w:val="3"/>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b/>
                <w:bCs/>
                <w:sz w:val="16"/>
                <w:szCs w:val="16"/>
              </w:rPr>
            </w:pPr>
            <w:r>
              <w:rPr>
                <w:b/>
                <w:bCs/>
                <w:sz w:val="16"/>
                <w:szCs w:val="16"/>
              </w:rPr>
              <w:t>累计提款数</w:t>
            </w:r>
          </w:p>
          <w:p>
            <w:pPr>
              <w:pStyle w:val="30"/>
              <w:keepLines w:val="0"/>
              <w:pageBreakBefore w:val="0"/>
              <w:widowControl/>
              <w:kinsoku/>
              <w:wordWrap/>
              <w:overflowPunct/>
              <w:topLinePunct w:val="0"/>
              <w:bidi w:val="0"/>
              <w:spacing w:line="240" w:lineRule="auto"/>
              <w:jc w:val="center"/>
              <w:textAlignment w:val="center"/>
              <w:rPr>
                <w:b/>
                <w:bCs/>
                <w:sz w:val="16"/>
                <w:szCs w:val="16"/>
              </w:rPr>
            </w:pPr>
            <w:r>
              <w:rPr>
                <w:b/>
                <w:bCs/>
                <w:sz w:val="16"/>
                <w:szCs w:val="16"/>
              </w:rPr>
              <w:t xml:space="preserve">Cumulative Withdrawals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3058" w:type="dxa"/>
            <w:vMerge w:val="continue"/>
            <w:tcBorders>
              <w:top w:val="single" w:color="auto" w:sz="4" w:space="0"/>
              <w:left w:val="single" w:color="auto" w:sz="4" w:space="0"/>
              <w:bottom w:val="single" w:color="auto" w:sz="4" w:space="0"/>
              <w:right w:val="single" w:color="auto" w:sz="4" w:space="0"/>
            </w:tcBorders>
            <w:vAlign w:val="center"/>
          </w:tcPr>
          <w:p>
            <w:pPr>
              <w:keepLines w:val="0"/>
              <w:pageBreakBefore w:val="0"/>
              <w:widowControl/>
              <w:kinsoku/>
              <w:wordWrap/>
              <w:overflowPunct/>
              <w:topLinePunct w:val="0"/>
              <w:bidi w:val="0"/>
              <w:spacing w:line="240" w:lineRule="auto"/>
              <w:ind w:firstLine="361"/>
              <w:jc w:val="center"/>
              <w:rPr>
                <w:b/>
                <w:bCs/>
                <w:sz w:val="16"/>
                <w:szCs w:val="16"/>
              </w:rPr>
            </w:pPr>
          </w:p>
        </w:tc>
        <w:tc>
          <w:tcPr>
            <w:tcW w:w="1998" w:type="dxa"/>
            <w:vMerge w:val="continue"/>
            <w:tcBorders>
              <w:top w:val="single" w:color="auto" w:sz="4" w:space="0"/>
              <w:left w:val="nil"/>
              <w:bottom w:val="single" w:color="auto" w:sz="4" w:space="0"/>
              <w:right w:val="single" w:color="auto" w:sz="4" w:space="0"/>
            </w:tcBorders>
            <w:vAlign w:val="center"/>
          </w:tcPr>
          <w:p>
            <w:pPr>
              <w:keepLines w:val="0"/>
              <w:pageBreakBefore w:val="0"/>
              <w:widowControl/>
              <w:kinsoku/>
              <w:wordWrap/>
              <w:overflowPunct/>
              <w:topLinePunct w:val="0"/>
              <w:bidi w:val="0"/>
              <w:spacing w:line="240" w:lineRule="auto"/>
              <w:ind w:firstLine="360"/>
              <w:jc w:val="center"/>
              <w:rPr>
                <w:sz w:val="16"/>
                <w:szCs w:val="16"/>
              </w:rPr>
            </w:pPr>
          </w:p>
        </w:tc>
        <w:tc>
          <w:tcPr>
            <w:tcW w:w="211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美元</w:t>
            </w:r>
          </w:p>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 xml:space="preserve">USD </w:t>
            </w:r>
          </w:p>
        </w:tc>
        <w:tc>
          <w:tcPr>
            <w:tcW w:w="2245"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折合人民币</w:t>
            </w:r>
          </w:p>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 xml:space="preserve">RMB </w:t>
            </w:r>
          </w:p>
        </w:tc>
        <w:tc>
          <w:tcPr>
            <w:tcW w:w="1893"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美元</w:t>
            </w:r>
          </w:p>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 xml:space="preserve">USD </w:t>
            </w:r>
          </w:p>
        </w:tc>
        <w:tc>
          <w:tcPr>
            <w:tcW w:w="252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折合人民币</w:t>
            </w:r>
          </w:p>
          <w:p>
            <w:pPr>
              <w:pStyle w:val="30"/>
              <w:keepLines w:val="0"/>
              <w:pageBreakBefore w:val="0"/>
              <w:widowControl/>
              <w:kinsoku/>
              <w:wordWrap/>
              <w:overflowPunct/>
              <w:topLinePunct w:val="0"/>
              <w:bidi w:val="0"/>
              <w:spacing w:line="240" w:lineRule="auto"/>
              <w:jc w:val="center"/>
              <w:textAlignment w:val="center"/>
              <w:rPr>
                <w:sz w:val="16"/>
                <w:szCs w:val="16"/>
              </w:rPr>
            </w:pPr>
            <w:r>
              <w:rPr>
                <w:b/>
                <w:sz w:val="16"/>
                <w:szCs w:val="16"/>
              </w:rPr>
              <w:t xml:space="preserve">RMB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textAlignment w:val="center"/>
              <w:rPr>
                <w:sz w:val="16"/>
                <w:szCs w:val="16"/>
              </w:rPr>
            </w:pPr>
            <w:r>
              <w:rPr>
                <w:sz w:val="16"/>
                <w:szCs w:val="16"/>
              </w:rPr>
              <w:t>1. 土建工程</w:t>
            </w:r>
          </w:p>
          <w:p>
            <w:pPr>
              <w:pStyle w:val="30"/>
              <w:keepLines w:val="0"/>
              <w:pageBreakBefore w:val="0"/>
              <w:widowControl/>
              <w:kinsoku/>
              <w:wordWrap/>
              <w:overflowPunct/>
              <w:topLinePunct w:val="0"/>
              <w:bidi w:val="0"/>
              <w:spacing w:line="240" w:lineRule="auto"/>
              <w:textAlignment w:val="center"/>
              <w:rPr>
                <w:sz w:val="16"/>
                <w:szCs w:val="16"/>
              </w:rPr>
            </w:pPr>
            <w:r>
              <w:rPr>
                <w:rFonts w:hint="eastAsia"/>
                <w:sz w:val="16"/>
                <w:szCs w:val="16"/>
              </w:rPr>
              <w:t xml:space="preserve"> </w:t>
            </w:r>
            <w:r>
              <w:rPr>
                <w:sz w:val="16"/>
                <w:szCs w:val="16"/>
              </w:rPr>
              <w:t xml:space="preserve">Civil Projects </w:t>
            </w:r>
          </w:p>
        </w:tc>
        <w:tc>
          <w:tcPr>
            <w:tcW w:w="1998"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140,223,000.00</w:t>
            </w:r>
          </w:p>
        </w:tc>
        <w:tc>
          <w:tcPr>
            <w:tcW w:w="211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1,107,437.62</w:t>
            </w:r>
          </w:p>
        </w:tc>
        <w:tc>
          <w:tcPr>
            <w:tcW w:w="2245"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7,060,690.04</w:t>
            </w:r>
          </w:p>
        </w:tc>
        <w:tc>
          <w:tcPr>
            <w:tcW w:w="1893"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1,107,437.62</w:t>
            </w:r>
          </w:p>
        </w:tc>
        <w:tc>
          <w:tcPr>
            <w:tcW w:w="252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7,060,690.04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textAlignment w:val="center"/>
              <w:rPr>
                <w:sz w:val="16"/>
                <w:szCs w:val="16"/>
              </w:rPr>
            </w:pPr>
            <w:r>
              <w:rPr>
                <w:sz w:val="16"/>
                <w:szCs w:val="16"/>
              </w:rPr>
              <w:t>1.1.职教中心</w:t>
            </w:r>
          </w:p>
          <w:p>
            <w:pPr>
              <w:pStyle w:val="30"/>
              <w:keepLines w:val="0"/>
              <w:pageBreakBefore w:val="0"/>
              <w:widowControl/>
              <w:kinsoku/>
              <w:wordWrap/>
              <w:overflowPunct/>
              <w:topLinePunct w:val="0"/>
              <w:bidi w:val="0"/>
              <w:spacing w:line="240" w:lineRule="auto"/>
              <w:textAlignment w:val="center"/>
              <w:rPr>
                <w:sz w:val="16"/>
                <w:szCs w:val="16"/>
              </w:rPr>
            </w:pPr>
            <w:r>
              <w:rPr>
                <w:sz w:val="16"/>
                <w:szCs w:val="16"/>
              </w:rPr>
              <w:t xml:space="preserve">Vocational Education Center </w:t>
            </w:r>
          </w:p>
        </w:tc>
        <w:tc>
          <w:tcPr>
            <w:tcW w:w="1998"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24,132,000.00</w:t>
            </w:r>
          </w:p>
        </w:tc>
        <w:tc>
          <w:tcPr>
            <w:tcW w:w="211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w:t>
            </w:r>
          </w:p>
        </w:tc>
        <w:tc>
          <w:tcPr>
            <w:tcW w:w="2245"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w:t>
            </w:r>
          </w:p>
        </w:tc>
        <w:tc>
          <w:tcPr>
            <w:tcW w:w="1893"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w:t>
            </w:r>
          </w:p>
        </w:tc>
        <w:tc>
          <w:tcPr>
            <w:tcW w:w="252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textAlignment w:val="center"/>
              <w:rPr>
                <w:sz w:val="16"/>
                <w:szCs w:val="16"/>
              </w:rPr>
            </w:pPr>
            <w:r>
              <w:rPr>
                <w:sz w:val="16"/>
                <w:szCs w:val="16"/>
              </w:rPr>
              <w:t>1.3其他</w:t>
            </w:r>
          </w:p>
          <w:p>
            <w:pPr>
              <w:pStyle w:val="30"/>
              <w:keepLines w:val="0"/>
              <w:pageBreakBefore w:val="0"/>
              <w:widowControl/>
              <w:kinsoku/>
              <w:wordWrap/>
              <w:overflowPunct/>
              <w:topLinePunct w:val="0"/>
              <w:bidi w:val="0"/>
              <w:spacing w:line="240" w:lineRule="auto"/>
              <w:textAlignment w:val="center"/>
              <w:rPr>
                <w:sz w:val="16"/>
                <w:szCs w:val="16"/>
              </w:rPr>
            </w:pPr>
            <w:r>
              <w:rPr>
                <w:sz w:val="16"/>
                <w:szCs w:val="16"/>
              </w:rPr>
              <w:t xml:space="preserve">Others </w:t>
            </w:r>
          </w:p>
        </w:tc>
        <w:tc>
          <w:tcPr>
            <w:tcW w:w="1998"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116,091,000.00</w:t>
            </w:r>
          </w:p>
        </w:tc>
        <w:tc>
          <w:tcPr>
            <w:tcW w:w="211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1,107,437.62</w:t>
            </w:r>
          </w:p>
        </w:tc>
        <w:tc>
          <w:tcPr>
            <w:tcW w:w="2245"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7,060,690.04</w:t>
            </w:r>
          </w:p>
        </w:tc>
        <w:tc>
          <w:tcPr>
            <w:tcW w:w="1893"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1,107,437.62</w:t>
            </w:r>
          </w:p>
        </w:tc>
        <w:tc>
          <w:tcPr>
            <w:tcW w:w="252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7,060,690.04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textAlignment w:val="center"/>
              <w:rPr>
                <w:sz w:val="16"/>
                <w:szCs w:val="16"/>
              </w:rPr>
            </w:pPr>
            <w:r>
              <w:rPr>
                <w:sz w:val="16"/>
                <w:szCs w:val="16"/>
              </w:rPr>
              <w:t>2.货物和咨询</w:t>
            </w:r>
          </w:p>
          <w:p>
            <w:pPr>
              <w:pStyle w:val="30"/>
              <w:keepLines w:val="0"/>
              <w:pageBreakBefore w:val="0"/>
              <w:widowControl/>
              <w:kinsoku/>
              <w:wordWrap/>
              <w:overflowPunct/>
              <w:topLinePunct w:val="0"/>
              <w:bidi w:val="0"/>
              <w:spacing w:line="240" w:lineRule="auto"/>
              <w:textAlignment w:val="center"/>
              <w:rPr>
                <w:sz w:val="16"/>
                <w:szCs w:val="16"/>
              </w:rPr>
            </w:pPr>
            <w:r>
              <w:rPr>
                <w:sz w:val="16"/>
                <w:szCs w:val="16"/>
              </w:rPr>
              <w:t xml:space="preserve">Goods and Consultation </w:t>
            </w:r>
          </w:p>
        </w:tc>
        <w:tc>
          <w:tcPr>
            <w:tcW w:w="1998"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59,777,000.00</w:t>
            </w:r>
          </w:p>
        </w:tc>
        <w:tc>
          <w:tcPr>
            <w:tcW w:w="211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475,410.74</w:t>
            </w:r>
          </w:p>
        </w:tc>
        <w:tc>
          <w:tcPr>
            <w:tcW w:w="2245"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3,031,076.26</w:t>
            </w:r>
          </w:p>
        </w:tc>
        <w:tc>
          <w:tcPr>
            <w:tcW w:w="1893"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475,410.74</w:t>
            </w:r>
          </w:p>
        </w:tc>
        <w:tc>
          <w:tcPr>
            <w:tcW w:w="252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3,031,076.26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textAlignment w:val="center"/>
              <w:rPr>
                <w:b/>
                <w:bCs/>
                <w:sz w:val="16"/>
                <w:szCs w:val="16"/>
              </w:rPr>
            </w:pPr>
            <w:r>
              <w:rPr>
                <w:bCs/>
                <w:sz w:val="16"/>
                <w:szCs w:val="16"/>
              </w:rPr>
              <w:t>3.专用账户</w:t>
            </w:r>
          </w:p>
          <w:p>
            <w:pPr>
              <w:pStyle w:val="30"/>
              <w:keepLines w:val="0"/>
              <w:pageBreakBefore w:val="0"/>
              <w:widowControl/>
              <w:kinsoku/>
              <w:wordWrap/>
              <w:overflowPunct/>
              <w:topLinePunct w:val="0"/>
              <w:bidi w:val="0"/>
              <w:spacing w:line="240" w:lineRule="auto"/>
              <w:textAlignment w:val="center"/>
              <w:rPr>
                <w:b/>
                <w:bCs/>
                <w:sz w:val="16"/>
                <w:szCs w:val="16"/>
              </w:rPr>
            </w:pPr>
            <w:r>
              <w:rPr>
                <w:bCs/>
                <w:sz w:val="16"/>
                <w:szCs w:val="16"/>
              </w:rPr>
              <w:t xml:space="preserve">Special Account </w:t>
            </w:r>
          </w:p>
        </w:tc>
        <w:tc>
          <w:tcPr>
            <w:tcW w:w="1998"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rFonts w:hint="eastAsia"/>
                <w:sz w:val="16"/>
                <w:szCs w:val="16"/>
              </w:rPr>
              <w:t>-</w:t>
            </w:r>
          </w:p>
        </w:tc>
        <w:tc>
          <w:tcPr>
            <w:tcW w:w="211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w:t>
            </w:r>
          </w:p>
        </w:tc>
        <w:tc>
          <w:tcPr>
            <w:tcW w:w="2245"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w:t>
            </w:r>
          </w:p>
        </w:tc>
        <w:tc>
          <w:tcPr>
            <w:tcW w:w="1893"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5,000,000.00</w:t>
            </w:r>
          </w:p>
        </w:tc>
        <w:tc>
          <w:tcPr>
            <w:tcW w:w="252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sz w:val="16"/>
                <w:szCs w:val="16"/>
              </w:rPr>
            </w:pPr>
            <w:r>
              <w:rPr>
                <w:sz w:val="16"/>
                <w:szCs w:val="16"/>
              </w:rPr>
              <w:t>31,878,500.00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trPr>
        <w:tc>
          <w:tcPr>
            <w:tcW w:w="3058"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center"/>
              <w:textAlignment w:val="center"/>
              <w:rPr>
                <w:kern w:val="0"/>
                <w:sz w:val="16"/>
                <w:szCs w:val="16"/>
              </w:rPr>
            </w:pPr>
            <w:r>
              <w:rPr>
                <w:b/>
                <w:kern w:val="0"/>
                <w:sz w:val="16"/>
                <w:szCs w:val="16"/>
              </w:rPr>
              <w:t>总计</w:t>
            </w:r>
          </w:p>
          <w:p>
            <w:pPr>
              <w:pStyle w:val="30"/>
              <w:keepLines w:val="0"/>
              <w:pageBreakBefore w:val="0"/>
              <w:widowControl/>
              <w:kinsoku/>
              <w:wordWrap/>
              <w:overflowPunct/>
              <w:topLinePunct w:val="0"/>
              <w:bidi w:val="0"/>
              <w:spacing w:line="240" w:lineRule="auto"/>
              <w:jc w:val="center"/>
              <w:textAlignment w:val="center"/>
              <w:rPr>
                <w:kern w:val="0"/>
                <w:sz w:val="16"/>
                <w:szCs w:val="16"/>
              </w:rPr>
            </w:pPr>
            <w:r>
              <w:rPr>
                <w:b/>
                <w:kern w:val="0"/>
                <w:sz w:val="16"/>
                <w:szCs w:val="16"/>
              </w:rPr>
              <w:t xml:space="preserve">Total </w:t>
            </w:r>
          </w:p>
        </w:tc>
        <w:tc>
          <w:tcPr>
            <w:tcW w:w="1998"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b/>
                <w:bCs/>
                <w:sz w:val="16"/>
                <w:szCs w:val="16"/>
              </w:rPr>
            </w:pPr>
            <w:r>
              <w:rPr>
                <w:b/>
                <w:bCs/>
                <w:sz w:val="16"/>
                <w:szCs w:val="16"/>
              </w:rPr>
              <w:t>200,000,000.00</w:t>
            </w:r>
          </w:p>
        </w:tc>
        <w:tc>
          <w:tcPr>
            <w:tcW w:w="211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b/>
                <w:bCs/>
                <w:sz w:val="16"/>
                <w:szCs w:val="16"/>
              </w:rPr>
            </w:pPr>
            <w:r>
              <w:rPr>
                <w:b/>
                <w:bCs/>
                <w:sz w:val="16"/>
                <w:szCs w:val="16"/>
              </w:rPr>
              <w:t>1,582,848.36</w:t>
            </w:r>
          </w:p>
        </w:tc>
        <w:tc>
          <w:tcPr>
            <w:tcW w:w="2245"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b/>
                <w:bCs/>
                <w:sz w:val="16"/>
                <w:szCs w:val="16"/>
              </w:rPr>
            </w:pPr>
            <w:r>
              <w:rPr>
                <w:b/>
                <w:bCs/>
                <w:sz w:val="16"/>
                <w:szCs w:val="16"/>
              </w:rPr>
              <w:t>10,091,766.30</w:t>
            </w:r>
          </w:p>
        </w:tc>
        <w:tc>
          <w:tcPr>
            <w:tcW w:w="1893" w:type="dxa"/>
            <w:gridSpan w:val="2"/>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b/>
                <w:bCs/>
                <w:sz w:val="16"/>
                <w:szCs w:val="16"/>
              </w:rPr>
            </w:pPr>
            <w:r>
              <w:rPr>
                <w:b/>
                <w:bCs/>
                <w:sz w:val="16"/>
                <w:szCs w:val="16"/>
              </w:rPr>
              <w:t>6,582,848.36</w:t>
            </w:r>
          </w:p>
        </w:tc>
        <w:tc>
          <w:tcPr>
            <w:tcW w:w="2527"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line="240" w:lineRule="auto"/>
              <w:jc w:val="right"/>
              <w:textAlignment w:val="center"/>
              <w:rPr>
                <w:b/>
                <w:bCs/>
                <w:sz w:val="16"/>
                <w:szCs w:val="16"/>
              </w:rPr>
            </w:pPr>
            <w:r>
              <w:rPr>
                <w:b/>
                <w:bCs/>
                <w:sz w:val="16"/>
                <w:szCs w:val="16"/>
              </w:rPr>
              <w:t>41,970,266.30</w:t>
            </w:r>
          </w:p>
        </w:tc>
      </w:tr>
    </w:tbl>
    <w:p>
      <w:pPr>
        <w:pStyle w:val="11"/>
        <w:autoSpaceDE w:val="0"/>
        <w:autoSpaceDN w:val="0"/>
        <w:adjustRightInd w:val="0"/>
        <w:spacing w:line="300" w:lineRule="exact"/>
        <w:rPr>
          <w:rFonts w:eastAsia="仿宋_GB2312"/>
          <w:b/>
          <w:bCs/>
          <w:szCs w:val="28"/>
        </w:rPr>
        <w:sectPr>
          <w:pgSz w:w="16840" w:h="11907" w:orient="landscape"/>
          <w:pgMar w:top="1588" w:right="1474" w:bottom="1588" w:left="1588" w:header="720" w:footer="720" w:gutter="0"/>
          <w:cols w:space="720" w:num="1"/>
          <w:docGrid w:type="lines" w:linePitch="312" w:charSpace="0"/>
        </w:sectPr>
      </w:pPr>
    </w:p>
    <w:p>
      <w:pPr>
        <w:pStyle w:val="21"/>
        <w:keepLines w:val="0"/>
        <w:pageBreakBefore w:val="0"/>
        <w:kinsoku/>
        <w:wordWrap/>
        <w:overflowPunct/>
        <w:topLinePunct w:val="0"/>
        <w:bidi w:val="0"/>
        <w:spacing w:before="117" w:beforeLines="30" w:after="117" w:afterLines="30"/>
        <w:rPr>
          <w:rFonts w:ascii="Times New Roman"/>
          <w:sz w:val="32"/>
          <w:szCs w:val="32"/>
        </w:rPr>
      </w:pPr>
      <w:bookmarkStart w:id="13" w:name="_Toc106960376"/>
      <w:r>
        <w:rPr>
          <w:rFonts w:ascii="Times New Roman"/>
          <w:sz w:val="32"/>
          <w:szCs w:val="32"/>
        </w:rPr>
        <w:t>（四）专用账户报表</w:t>
      </w:r>
      <w:bookmarkEnd w:id="13"/>
    </w:p>
    <w:p>
      <w:pPr>
        <w:pStyle w:val="21"/>
        <w:keepLines w:val="0"/>
        <w:pageBreakBefore w:val="0"/>
        <w:kinsoku/>
        <w:wordWrap/>
        <w:overflowPunct/>
        <w:topLinePunct w:val="0"/>
        <w:bidi w:val="0"/>
        <w:spacing w:before="117" w:beforeLines="30" w:after="117" w:afterLines="30"/>
        <w:rPr>
          <w:rFonts w:ascii="Times New Roman"/>
          <w:sz w:val="32"/>
          <w:szCs w:val="32"/>
        </w:rPr>
      </w:pPr>
      <w:bookmarkStart w:id="14" w:name="_Toc106960377"/>
      <w:r>
        <w:rPr>
          <w:rFonts w:ascii="Times New Roman"/>
          <w:sz w:val="32"/>
          <w:szCs w:val="32"/>
        </w:rPr>
        <w:t>iv. Special Account Statement</w:t>
      </w:r>
      <w:bookmarkEnd w:id="14"/>
      <w:r>
        <w:rPr>
          <w:rFonts w:ascii="Times New Roman"/>
          <w:sz w:val="32"/>
          <w:szCs w:val="32"/>
        </w:rPr>
        <w:t xml:space="preserve"> </w:t>
      </w:r>
    </w:p>
    <w:p>
      <w:pPr>
        <w:pStyle w:val="24"/>
        <w:keepLines w:val="0"/>
        <w:pageBreakBefore w:val="0"/>
        <w:kinsoku/>
        <w:wordWrap/>
        <w:overflowPunct/>
        <w:topLinePunct w:val="0"/>
        <w:bidi w:val="0"/>
        <w:spacing w:before="117" w:beforeLines="30" w:after="117" w:afterLines="30"/>
        <w:outlineLvl w:val="1"/>
        <w:rPr>
          <w:sz w:val="36"/>
          <w:szCs w:val="36"/>
        </w:rPr>
      </w:pPr>
      <w:bookmarkStart w:id="15" w:name="_Toc106960378"/>
      <w:r>
        <w:rPr>
          <w:sz w:val="36"/>
          <w:szCs w:val="36"/>
        </w:rPr>
        <w:t>专 用 账 户 报 表</w:t>
      </w:r>
      <w:bookmarkEnd w:id="15"/>
    </w:p>
    <w:p>
      <w:pPr>
        <w:pStyle w:val="24"/>
        <w:keepLines w:val="0"/>
        <w:pageBreakBefore w:val="0"/>
        <w:kinsoku/>
        <w:wordWrap/>
        <w:overflowPunct/>
        <w:topLinePunct w:val="0"/>
        <w:bidi w:val="0"/>
        <w:spacing w:before="117" w:beforeLines="30" w:after="117" w:afterLines="30"/>
        <w:outlineLvl w:val="1"/>
        <w:rPr>
          <w:sz w:val="36"/>
          <w:szCs w:val="36"/>
        </w:rPr>
      </w:pPr>
      <w:bookmarkStart w:id="16" w:name="_Toc106960379"/>
      <w:r>
        <w:rPr>
          <w:rFonts w:hint="eastAsia"/>
          <w:sz w:val="32"/>
          <w:szCs w:val="32"/>
          <w:lang w:val="en-US" w:eastAsia="zh-CN"/>
        </w:rPr>
        <w:t>SPECIAL</w:t>
      </w:r>
      <w:r>
        <w:rPr>
          <w:sz w:val="32"/>
          <w:szCs w:val="32"/>
        </w:rPr>
        <w:t xml:space="preserve"> </w:t>
      </w:r>
      <w:bookmarkEnd w:id="16"/>
      <w:r>
        <w:rPr>
          <w:rFonts w:ascii="Times New Roman" w:hAnsi="Times New Roman" w:cs="Times New Roman"/>
          <w:b/>
          <w:bCs/>
          <w:snapToGrid w:val="0"/>
          <w:kern w:val="0"/>
          <w:sz w:val="32"/>
          <w:szCs w:val="32"/>
          <w:highlight w:val="none"/>
          <w:lang w:val="en-US" w:eastAsia="zh-CN" w:bidi="ar-SA"/>
        </w:rPr>
        <w:t>ACCOUNT STATEMENT</w:t>
      </w:r>
      <w:r>
        <w:rPr>
          <w:sz w:val="36"/>
          <w:szCs w:val="36"/>
        </w:rPr>
        <w:t xml:space="preserve"> </w:t>
      </w:r>
    </w:p>
    <w:p>
      <w:pPr>
        <w:pStyle w:val="25"/>
        <w:keepLines w:val="0"/>
        <w:pageBreakBefore w:val="0"/>
        <w:kinsoku/>
        <w:wordWrap/>
        <w:overflowPunct/>
        <w:topLinePunct w:val="0"/>
        <w:bidi w:val="0"/>
        <w:spacing w:before="117" w:beforeLines="30" w:after="117" w:afterLines="30"/>
        <w:rPr>
          <w:sz w:val="22"/>
          <w:szCs w:val="32"/>
        </w:rPr>
      </w:pPr>
      <w:r>
        <w:rPr>
          <w:sz w:val="22"/>
          <w:szCs w:val="32"/>
        </w:rPr>
        <w:t>本期截至2021年12月31日</w:t>
      </w:r>
    </w:p>
    <w:p>
      <w:pPr>
        <w:pStyle w:val="25"/>
        <w:keepLines w:val="0"/>
        <w:pageBreakBefore w:val="0"/>
        <w:kinsoku/>
        <w:wordWrap/>
        <w:overflowPunct/>
        <w:topLinePunct w:val="0"/>
        <w:bidi w:val="0"/>
        <w:spacing w:before="117" w:beforeLines="30" w:after="117" w:afterLines="30"/>
        <w:rPr>
          <w:rFonts w:hint="eastAsia" w:eastAsia="仿宋_GB2312"/>
          <w:sz w:val="22"/>
          <w:szCs w:val="32"/>
          <w:lang w:eastAsia="zh-CN"/>
        </w:rPr>
      </w:pPr>
      <w:r>
        <w:rPr>
          <w:rFonts w:hint="eastAsia"/>
          <w:sz w:val="22"/>
          <w:szCs w:val="32"/>
          <w:lang w:eastAsia="zh-CN"/>
        </w:rPr>
        <w:t>（</w:t>
      </w:r>
      <w:r>
        <w:rPr>
          <w:sz w:val="22"/>
          <w:szCs w:val="32"/>
        </w:rPr>
        <w:t>For the period ended December 31, 2021</w:t>
      </w:r>
      <w:r>
        <w:rPr>
          <w:rFonts w:hint="eastAsia"/>
          <w:sz w:val="22"/>
          <w:szCs w:val="32"/>
          <w:lang w:eastAsia="zh-CN"/>
        </w:rPr>
        <w:t>）</w:t>
      </w:r>
    </w:p>
    <w:p>
      <w:pPr>
        <w:pStyle w:val="25"/>
        <w:keepLines w:val="0"/>
        <w:pageBreakBefore w:val="0"/>
        <w:kinsoku/>
        <w:wordWrap/>
        <w:overflowPunct/>
        <w:topLinePunct w:val="0"/>
        <w:bidi w:val="0"/>
        <w:spacing w:before="117" w:beforeLines="30" w:after="117" w:afterLines="30"/>
        <w:rPr>
          <w:sz w:val="22"/>
          <w:szCs w:val="32"/>
        </w:rPr>
      </w:pPr>
    </w:p>
    <w:tbl>
      <w:tblPr>
        <w:tblStyle w:val="10"/>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4"/>
        <w:gridCol w:w="3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8820" w:type="dxa"/>
            <w:gridSpan w:val="2"/>
            <w:tcBorders>
              <w:top w:val="nil"/>
              <w:left w:val="nil"/>
              <w:bottom w:val="nil"/>
              <w:right w:val="nil"/>
            </w:tcBorders>
            <w:vAlign w:val="center"/>
          </w:tcPr>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项目名称：亚洲开发银行贷款四川资阳绿色转型和发展项目</w:t>
            </w:r>
          </w:p>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 xml:space="preserve">Project Name: Loan Project Financed by ADB for the Green Transformation and Development of Ziyang, Sichuan Province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8820" w:type="dxa"/>
            <w:gridSpan w:val="2"/>
            <w:tcBorders>
              <w:top w:val="nil"/>
              <w:left w:val="nil"/>
              <w:bottom w:val="nil"/>
              <w:right w:val="nil"/>
            </w:tcBorders>
            <w:vAlign w:val="center"/>
          </w:tcPr>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贷款号：3766-PRC</w:t>
            </w:r>
          </w:p>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 xml:space="preserve">Loan No.: 3766-PRC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8820" w:type="dxa"/>
            <w:gridSpan w:val="2"/>
            <w:tcBorders>
              <w:top w:val="nil"/>
              <w:left w:val="nil"/>
              <w:bottom w:val="nil"/>
              <w:right w:val="nil"/>
            </w:tcBorders>
            <w:vAlign w:val="center"/>
          </w:tcPr>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编报单位：四川省财政厅</w:t>
            </w:r>
          </w:p>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 xml:space="preserve">Prepared by: Sichuan Provincial Finance Department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8820" w:type="dxa"/>
            <w:gridSpan w:val="2"/>
            <w:tcBorders>
              <w:top w:val="nil"/>
              <w:left w:val="nil"/>
              <w:bottom w:val="nil"/>
              <w:right w:val="nil"/>
            </w:tcBorders>
            <w:vAlign w:val="center"/>
          </w:tcPr>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开户银行名称：中国建设银行岷江支行</w:t>
            </w:r>
          </w:p>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 xml:space="preserve">Bank of Deposit: Minjiang Sub-branch of China Construction Bank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5114" w:type="dxa"/>
            <w:tcBorders>
              <w:top w:val="nil"/>
              <w:left w:val="nil"/>
              <w:bottom w:val="single" w:color="auto" w:sz="4" w:space="0"/>
              <w:right w:val="nil"/>
            </w:tcBorders>
            <w:vAlign w:val="center"/>
          </w:tcPr>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账号：51050186083600004849</w:t>
            </w:r>
          </w:p>
          <w:p>
            <w:pPr>
              <w:pStyle w:val="11"/>
              <w:keepLines w:val="0"/>
              <w:pageBreakBefore w:val="0"/>
              <w:kinsoku/>
              <w:wordWrap/>
              <w:overflowPunct/>
              <w:topLinePunct w:val="0"/>
              <w:bidi w:val="0"/>
              <w:spacing w:before="117" w:beforeLines="30" w:after="117" w:afterLines="30"/>
              <w:jc w:val="left"/>
              <w:rPr>
                <w:rFonts w:eastAsia="仿宋_GB2312"/>
                <w:spacing w:val="-10"/>
                <w:sz w:val="22"/>
                <w:szCs w:val="21"/>
              </w:rPr>
            </w:pPr>
            <w:r>
              <w:rPr>
                <w:rFonts w:eastAsia="仿宋_GB2312"/>
                <w:spacing w:val="-10"/>
                <w:sz w:val="22"/>
                <w:szCs w:val="21"/>
              </w:rPr>
              <w:t xml:space="preserve">Account No.: 51050186083600004849 </w:t>
            </w:r>
          </w:p>
        </w:tc>
        <w:tc>
          <w:tcPr>
            <w:tcW w:w="3706" w:type="dxa"/>
            <w:tcBorders>
              <w:top w:val="nil"/>
              <w:left w:val="nil"/>
              <w:bottom w:val="single" w:color="auto" w:sz="4" w:space="0"/>
              <w:right w:val="nil"/>
            </w:tcBorders>
            <w:vAlign w:val="center"/>
          </w:tcPr>
          <w:p>
            <w:pPr>
              <w:pStyle w:val="11"/>
              <w:keepLines w:val="0"/>
              <w:pageBreakBefore w:val="0"/>
              <w:kinsoku/>
              <w:wordWrap/>
              <w:overflowPunct/>
              <w:topLinePunct w:val="0"/>
              <w:bidi w:val="0"/>
              <w:spacing w:before="117" w:beforeLines="30" w:after="117" w:afterLines="30"/>
              <w:jc w:val="right"/>
              <w:rPr>
                <w:rFonts w:eastAsia="仿宋_GB2312"/>
                <w:spacing w:val="-10"/>
                <w:sz w:val="22"/>
                <w:szCs w:val="21"/>
              </w:rPr>
            </w:pPr>
            <w:r>
              <w:rPr>
                <w:rFonts w:eastAsia="仿宋_GB2312"/>
                <w:spacing w:val="-10"/>
                <w:sz w:val="22"/>
                <w:szCs w:val="21"/>
              </w:rPr>
              <w:t>货币种类：美元</w:t>
            </w:r>
          </w:p>
          <w:p>
            <w:pPr>
              <w:pStyle w:val="11"/>
              <w:keepLines w:val="0"/>
              <w:pageBreakBefore w:val="0"/>
              <w:kinsoku/>
              <w:wordWrap/>
              <w:overflowPunct/>
              <w:topLinePunct w:val="0"/>
              <w:bidi w:val="0"/>
              <w:spacing w:before="117" w:beforeLines="30" w:after="117" w:afterLines="30"/>
              <w:jc w:val="right"/>
              <w:rPr>
                <w:rFonts w:eastAsia="仿宋_GB2312"/>
                <w:spacing w:val="-10"/>
                <w:sz w:val="22"/>
                <w:szCs w:val="21"/>
              </w:rPr>
            </w:pPr>
            <w:r>
              <w:rPr>
                <w:rFonts w:eastAsia="仿宋_GB2312"/>
                <w:spacing w:val="-10"/>
                <w:sz w:val="22"/>
                <w:szCs w:val="21"/>
              </w:rPr>
              <w:t xml:space="preserve">Currency: USD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11"/>
              <w:keepLines w:val="0"/>
              <w:pageBreakBefore w:val="0"/>
              <w:kinsoku/>
              <w:wordWrap/>
              <w:overflowPunct/>
              <w:topLinePunct w:val="0"/>
              <w:bidi w:val="0"/>
              <w:spacing w:before="117" w:beforeLines="30" w:after="117" w:afterLines="30"/>
              <w:jc w:val="center"/>
              <w:rPr>
                <w:b/>
                <w:bCs/>
                <w:sz w:val="20"/>
                <w:szCs w:val="20"/>
              </w:rPr>
            </w:pPr>
            <w:r>
              <w:rPr>
                <w:bCs/>
                <w:sz w:val="20"/>
                <w:szCs w:val="20"/>
              </w:rPr>
              <w:t>A部分：本期专用账户收支情况</w:t>
            </w:r>
          </w:p>
          <w:p>
            <w:pPr>
              <w:pStyle w:val="11"/>
              <w:keepLines w:val="0"/>
              <w:pageBreakBefore w:val="0"/>
              <w:kinsoku/>
              <w:wordWrap/>
              <w:overflowPunct/>
              <w:topLinePunct w:val="0"/>
              <w:bidi w:val="0"/>
              <w:spacing w:before="117" w:beforeLines="30" w:after="117" w:afterLines="30"/>
              <w:jc w:val="center"/>
              <w:rPr>
                <w:b/>
                <w:bCs/>
                <w:sz w:val="20"/>
                <w:szCs w:val="20"/>
              </w:rPr>
            </w:pPr>
            <w:r>
              <w:rPr>
                <w:bCs/>
                <w:sz w:val="20"/>
                <w:szCs w:val="20"/>
              </w:rPr>
              <w:t xml:space="preserve">Part A: Account Activity for the Current Period </w:t>
            </w:r>
          </w:p>
        </w:tc>
        <w:tc>
          <w:tcPr>
            <w:tcW w:w="3706" w:type="dxa"/>
            <w:tcBorders>
              <w:top w:val="single" w:color="auto" w:sz="4" w:space="0"/>
              <w:left w:val="single" w:color="auto" w:sz="4" w:space="0"/>
              <w:bottom w:val="single" w:color="auto" w:sz="4" w:space="0"/>
              <w:right w:val="single" w:color="auto" w:sz="4" w:space="0"/>
            </w:tcBorders>
            <w:vAlign w:val="center"/>
          </w:tcPr>
          <w:p>
            <w:pPr>
              <w:pStyle w:val="11"/>
              <w:keepLines w:val="0"/>
              <w:pageBreakBefore w:val="0"/>
              <w:kinsoku/>
              <w:wordWrap/>
              <w:overflowPunct/>
              <w:topLinePunct w:val="0"/>
              <w:bidi w:val="0"/>
              <w:spacing w:before="117" w:beforeLines="30" w:after="117" w:afterLines="30"/>
              <w:jc w:val="center"/>
              <w:rPr>
                <w:sz w:val="20"/>
                <w:szCs w:val="20"/>
              </w:rPr>
            </w:pPr>
            <w:r>
              <w:rPr>
                <w:sz w:val="20"/>
                <w:szCs w:val="20"/>
              </w:rPr>
              <w:t>金  额</w:t>
            </w:r>
          </w:p>
          <w:p>
            <w:pPr>
              <w:pStyle w:val="11"/>
              <w:keepLines w:val="0"/>
              <w:pageBreakBefore w:val="0"/>
              <w:kinsoku/>
              <w:wordWrap/>
              <w:overflowPunct/>
              <w:topLinePunct w:val="0"/>
              <w:bidi w:val="0"/>
              <w:spacing w:before="117" w:beforeLines="30" w:after="117" w:afterLines="30"/>
              <w:jc w:val="center"/>
              <w:rPr>
                <w:sz w:val="20"/>
                <w:szCs w:val="20"/>
              </w:rPr>
            </w:pPr>
            <w:r>
              <w:rPr>
                <w:sz w:val="20"/>
                <w:szCs w:val="20"/>
              </w:rPr>
              <w:t xml:space="preserve">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11"/>
              <w:keepLines w:val="0"/>
              <w:pageBreakBefore w:val="0"/>
              <w:kinsoku/>
              <w:wordWrap/>
              <w:overflowPunct/>
              <w:topLinePunct w:val="0"/>
              <w:bidi w:val="0"/>
              <w:spacing w:before="117" w:beforeLines="30" w:after="117" w:afterLines="30"/>
              <w:rPr>
                <w:sz w:val="20"/>
                <w:szCs w:val="20"/>
              </w:rPr>
            </w:pPr>
            <w:r>
              <w:rPr>
                <w:sz w:val="20"/>
                <w:szCs w:val="20"/>
              </w:rPr>
              <w:t>期初余额</w:t>
            </w:r>
          </w:p>
          <w:p>
            <w:pPr>
              <w:pStyle w:val="11"/>
              <w:keepLines w:val="0"/>
              <w:pageBreakBefore w:val="0"/>
              <w:kinsoku/>
              <w:wordWrap/>
              <w:overflowPunct/>
              <w:topLinePunct w:val="0"/>
              <w:bidi w:val="0"/>
              <w:spacing w:before="117" w:beforeLines="30" w:after="117" w:afterLines="30"/>
              <w:rPr>
                <w:sz w:val="20"/>
                <w:szCs w:val="20"/>
              </w:rPr>
            </w:pPr>
            <w:r>
              <w:rPr>
                <w:sz w:val="20"/>
                <w:szCs w:val="20"/>
              </w:rPr>
              <w:t xml:space="preserve">Beginning Balance </w:t>
            </w:r>
          </w:p>
        </w:tc>
        <w:tc>
          <w:tcPr>
            <w:tcW w:w="3706"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jc w:val="right"/>
              <w:textAlignment w:val="center"/>
              <w:rPr>
                <w:sz w:val="20"/>
                <w:szCs w:val="20"/>
              </w:rPr>
            </w:pPr>
            <w:r>
              <w:rPr>
                <w:kern w:val="0"/>
                <w:sz w:val="20"/>
                <w:szCs w:val="20"/>
              </w:rPr>
              <w:t>4,848,087.25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加：1.本期亚行回补总额</w:t>
            </w:r>
          </w:p>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 xml:space="preserve">Add: 1. Total Amount Deposited this Period by ADB </w:t>
            </w:r>
          </w:p>
        </w:tc>
        <w:tc>
          <w:tcPr>
            <w:tcW w:w="3706"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jc w:val="right"/>
              <w:textAlignment w:val="center"/>
              <w:rPr>
                <w:sz w:val="20"/>
                <w:szCs w:val="20"/>
              </w:rPr>
            </w:pPr>
            <w:r>
              <w:rPr>
                <w:sz w:val="20"/>
                <w:szCs w:val="20"/>
              </w:rPr>
              <w:t>1,582,848.36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2.本期利息收入总额</w:t>
            </w:r>
          </w:p>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 xml:space="preserve">Total Interest Income Received this Period </w:t>
            </w:r>
          </w:p>
        </w:tc>
        <w:tc>
          <w:tcPr>
            <w:tcW w:w="3706"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jc w:val="right"/>
              <w:textAlignment w:val="center"/>
              <w:rPr>
                <w:sz w:val="20"/>
                <w:szCs w:val="20"/>
              </w:rPr>
            </w:pPr>
            <w:r>
              <w:rPr>
                <w:sz w:val="20"/>
                <w:szCs w:val="20"/>
              </w:rPr>
              <w:t>459.69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3.本期不合格支出归还总额</w:t>
            </w:r>
          </w:p>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 xml:space="preserve">Total Amount Refunded this Period to Cover Ineligible Expenditures </w:t>
            </w:r>
          </w:p>
        </w:tc>
        <w:tc>
          <w:tcPr>
            <w:tcW w:w="3706" w:type="dxa"/>
            <w:tcBorders>
              <w:top w:val="single" w:color="auto" w:sz="4" w:space="0"/>
              <w:left w:val="nil"/>
              <w:bottom w:val="single" w:color="auto" w:sz="4" w:space="0"/>
              <w:right w:val="single" w:color="auto" w:sz="4" w:space="0"/>
            </w:tcBorders>
            <w:vAlign w:val="center"/>
          </w:tcPr>
          <w:p>
            <w:pPr>
              <w:pStyle w:val="30"/>
              <w:keepLines w:val="0"/>
              <w:pageBreakBefore w:val="0"/>
              <w:kinsoku/>
              <w:wordWrap/>
              <w:overflowPunct/>
              <w:topLinePunct w:val="0"/>
              <w:bidi w:val="0"/>
              <w:spacing w:before="117" w:beforeLines="30" w:after="117" w:afterLines="30"/>
              <w:jc w:val="right"/>
              <w:rPr>
                <w:sz w:val="20"/>
                <w:szCs w:val="20"/>
              </w:rPr>
            </w:pPr>
            <w:r>
              <w:rPr>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减：1.本期支付总额</w:t>
            </w:r>
          </w:p>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 xml:space="preserve">Less: 1. Total Amount Withdrawn this Period </w:t>
            </w:r>
          </w:p>
        </w:tc>
        <w:tc>
          <w:tcPr>
            <w:tcW w:w="3706" w:type="dxa"/>
            <w:tcBorders>
              <w:top w:val="single" w:color="auto" w:sz="4" w:space="0"/>
              <w:left w:val="nil"/>
              <w:bottom w:val="single" w:color="auto" w:sz="4" w:space="0"/>
              <w:right w:val="single" w:color="auto" w:sz="4" w:space="0"/>
            </w:tcBorders>
            <w:vAlign w:val="bottom"/>
          </w:tcPr>
          <w:p>
            <w:pPr>
              <w:pStyle w:val="30"/>
              <w:keepLines w:val="0"/>
              <w:pageBreakBefore w:val="0"/>
              <w:widowControl/>
              <w:kinsoku/>
              <w:wordWrap/>
              <w:overflowPunct/>
              <w:topLinePunct w:val="0"/>
              <w:bidi w:val="0"/>
              <w:spacing w:before="117" w:beforeLines="30" w:after="117" w:afterLines="30"/>
              <w:jc w:val="right"/>
              <w:textAlignment w:val="center"/>
              <w:rPr>
                <w:sz w:val="20"/>
                <w:szCs w:val="20"/>
              </w:rPr>
            </w:pPr>
            <w:r>
              <w:rPr>
                <w:sz w:val="20"/>
                <w:szCs w:val="20"/>
              </w:rPr>
              <w:t>4,391,675.26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2.本期未包括在支付额中的服务费支出</w:t>
            </w:r>
          </w:p>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 xml:space="preserve">Total Service Charges Paid this Period if not Included in Above Amount Withdrawn </w:t>
            </w:r>
          </w:p>
        </w:tc>
        <w:tc>
          <w:tcPr>
            <w:tcW w:w="3706"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jc w:val="right"/>
              <w:textAlignment w:val="center"/>
              <w:rPr>
                <w:sz w:val="20"/>
                <w:szCs w:val="20"/>
              </w:rPr>
            </w:pPr>
            <w:r>
              <w:rPr>
                <w:sz w:val="20"/>
                <w:szCs w:val="20"/>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trPr>
        <w:tc>
          <w:tcPr>
            <w:tcW w:w="5114" w:type="dxa"/>
            <w:tcBorders>
              <w:top w:val="single" w:color="auto" w:sz="4" w:space="0"/>
              <w:left w:val="single" w:color="auto" w:sz="4" w:space="0"/>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期末余额</w:t>
            </w:r>
          </w:p>
          <w:p>
            <w:pPr>
              <w:pStyle w:val="30"/>
              <w:keepLines w:val="0"/>
              <w:pageBreakBefore w:val="0"/>
              <w:widowControl/>
              <w:kinsoku/>
              <w:wordWrap/>
              <w:overflowPunct/>
              <w:topLinePunct w:val="0"/>
              <w:bidi w:val="0"/>
              <w:spacing w:before="117" w:beforeLines="30" w:after="117" w:afterLines="30"/>
              <w:textAlignment w:val="center"/>
              <w:rPr>
                <w:sz w:val="20"/>
                <w:szCs w:val="22"/>
              </w:rPr>
            </w:pPr>
            <w:r>
              <w:rPr>
                <w:sz w:val="20"/>
                <w:szCs w:val="22"/>
              </w:rPr>
              <w:t xml:space="preserve">Ending Balance </w:t>
            </w:r>
          </w:p>
        </w:tc>
        <w:tc>
          <w:tcPr>
            <w:tcW w:w="3706" w:type="dxa"/>
            <w:tcBorders>
              <w:top w:val="single" w:color="auto" w:sz="4" w:space="0"/>
              <w:left w:val="nil"/>
              <w:bottom w:val="single" w:color="auto" w:sz="4" w:space="0"/>
              <w:right w:val="single" w:color="auto" w:sz="4" w:space="0"/>
            </w:tcBorders>
            <w:vAlign w:val="center"/>
          </w:tcPr>
          <w:p>
            <w:pPr>
              <w:pStyle w:val="30"/>
              <w:keepLines w:val="0"/>
              <w:pageBreakBefore w:val="0"/>
              <w:widowControl/>
              <w:kinsoku/>
              <w:wordWrap/>
              <w:overflowPunct/>
              <w:topLinePunct w:val="0"/>
              <w:bidi w:val="0"/>
              <w:spacing w:before="117" w:beforeLines="30" w:after="117" w:afterLines="30"/>
              <w:jc w:val="right"/>
              <w:textAlignment w:val="center"/>
              <w:rPr>
                <w:sz w:val="20"/>
                <w:szCs w:val="20"/>
              </w:rPr>
            </w:pPr>
            <w:r>
              <w:rPr>
                <w:sz w:val="20"/>
                <w:szCs w:val="20"/>
              </w:rPr>
              <w:t>2,039,700.04</w:t>
            </w:r>
          </w:p>
        </w:tc>
      </w:tr>
    </w:tbl>
    <w:p>
      <w:pPr>
        <w:pStyle w:val="11"/>
        <w:keepLines w:val="0"/>
        <w:pageBreakBefore w:val="0"/>
        <w:tabs>
          <w:tab w:val="left" w:pos="7140"/>
        </w:tabs>
        <w:kinsoku/>
        <w:wordWrap/>
        <w:overflowPunct/>
        <w:topLinePunct w:val="0"/>
        <w:autoSpaceDE w:val="0"/>
        <w:autoSpaceDN w:val="0"/>
        <w:bidi w:val="0"/>
        <w:adjustRightInd w:val="0"/>
        <w:spacing w:before="117" w:beforeLines="30" w:after="117" w:afterLines="30" w:line="240" w:lineRule="exact"/>
        <w:jc w:val="left"/>
        <w:rPr>
          <w:sz w:val="20"/>
          <w:szCs w:val="20"/>
        </w:rPr>
      </w:pPr>
      <w:r>
        <w:rPr>
          <w:sz w:val="20"/>
          <w:szCs w:val="20"/>
        </w:rPr>
        <w:t>（后续）</w:t>
      </w:r>
    </w:p>
    <w:p>
      <w:pPr>
        <w:pStyle w:val="11"/>
        <w:keepLines w:val="0"/>
        <w:pageBreakBefore w:val="0"/>
        <w:tabs>
          <w:tab w:val="left" w:pos="7140"/>
        </w:tabs>
        <w:kinsoku/>
        <w:wordWrap/>
        <w:overflowPunct/>
        <w:topLinePunct w:val="0"/>
        <w:autoSpaceDE w:val="0"/>
        <w:autoSpaceDN w:val="0"/>
        <w:bidi w:val="0"/>
        <w:adjustRightInd w:val="0"/>
        <w:spacing w:before="117" w:beforeLines="30" w:after="117" w:afterLines="30" w:line="240" w:lineRule="exact"/>
        <w:jc w:val="left"/>
        <w:rPr>
          <w:sz w:val="20"/>
          <w:szCs w:val="20"/>
        </w:rPr>
      </w:pPr>
      <w:r>
        <w:rPr>
          <w:sz w:val="20"/>
          <w:szCs w:val="20"/>
        </w:rPr>
        <w:t xml:space="preserve">(To be continued) </w:t>
      </w:r>
    </w:p>
    <w:p>
      <w:pPr>
        <w:pStyle w:val="11"/>
        <w:keepLines w:val="0"/>
        <w:pageBreakBefore w:val="0"/>
        <w:kinsoku/>
        <w:wordWrap/>
        <w:overflowPunct/>
        <w:topLinePunct w:val="0"/>
        <w:bidi w:val="0"/>
        <w:spacing w:before="117" w:beforeLines="30" w:after="117" w:afterLines="30" w:line="300" w:lineRule="exact"/>
        <w:rPr>
          <w:rFonts w:eastAsia="仿宋_GB2312"/>
          <w:spacing w:val="-10"/>
          <w:sz w:val="22"/>
          <w:szCs w:val="21"/>
        </w:rPr>
      </w:pPr>
      <w:r>
        <w:rPr>
          <w:rFonts w:eastAsia="仿宋_GB2312"/>
          <w:spacing w:val="-10"/>
          <w:sz w:val="22"/>
          <w:szCs w:val="21"/>
        </w:rPr>
        <w:br w:type="page"/>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6"/>
        <w:gridCol w:w="3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11"/>
              <w:spacing w:line="216" w:lineRule="exact"/>
              <w:jc w:val="center"/>
              <w:rPr>
                <w:sz w:val="18"/>
                <w:szCs w:val="18"/>
              </w:rPr>
            </w:pPr>
            <w:r>
              <w:rPr>
                <w:sz w:val="18"/>
                <w:szCs w:val="18"/>
              </w:rPr>
              <w:t>B部分：专用账户调节</w:t>
            </w:r>
          </w:p>
          <w:p>
            <w:pPr>
              <w:pStyle w:val="11"/>
              <w:spacing w:line="216" w:lineRule="exact"/>
              <w:jc w:val="center"/>
              <w:rPr>
                <w:sz w:val="18"/>
                <w:szCs w:val="18"/>
              </w:rPr>
            </w:pPr>
            <w:r>
              <w:rPr>
                <w:sz w:val="18"/>
                <w:szCs w:val="18"/>
              </w:rPr>
              <w:t xml:space="preserve">Part B: Account Reconciliation </w:t>
            </w:r>
          </w:p>
        </w:tc>
        <w:tc>
          <w:tcPr>
            <w:tcW w:w="3305" w:type="dxa"/>
            <w:tcBorders>
              <w:top w:val="single" w:color="auto" w:sz="4" w:space="0"/>
              <w:left w:val="nil"/>
              <w:bottom w:val="single" w:color="auto" w:sz="4" w:space="0"/>
              <w:right w:val="single" w:color="auto" w:sz="4" w:space="0"/>
            </w:tcBorders>
            <w:vAlign w:val="center"/>
          </w:tcPr>
          <w:p>
            <w:pPr>
              <w:pStyle w:val="32"/>
              <w:jc w:val="center"/>
              <w:rPr>
                <w:bCs w:val="0"/>
                <w:color w:val="auto"/>
                <w:sz w:val="18"/>
                <w:szCs w:val="18"/>
              </w:rPr>
            </w:pPr>
            <w:r>
              <w:rPr>
                <w:bCs w:val="0"/>
                <w:color w:val="auto"/>
                <w:sz w:val="18"/>
                <w:szCs w:val="18"/>
              </w:rPr>
              <w:t>金  额</w:t>
            </w:r>
          </w:p>
          <w:p>
            <w:pPr>
              <w:pStyle w:val="32"/>
              <w:jc w:val="center"/>
              <w:rPr>
                <w:bCs w:val="0"/>
                <w:color w:val="auto"/>
                <w:sz w:val="18"/>
                <w:szCs w:val="18"/>
              </w:rPr>
            </w:pPr>
            <w:r>
              <w:rPr>
                <w:bCs w:val="0"/>
                <w:color w:val="auto"/>
                <w:sz w:val="18"/>
                <w:szCs w:val="18"/>
              </w:rPr>
              <w:t xml:space="preserve">Amount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亚行首次存款总额</w:t>
            </w:r>
          </w:p>
          <w:p>
            <w:pPr>
              <w:pStyle w:val="30"/>
              <w:widowControl/>
              <w:textAlignment w:val="center"/>
              <w:rPr>
                <w:kern w:val="0"/>
                <w:sz w:val="18"/>
                <w:szCs w:val="18"/>
                <w:lang w:bidi="ar"/>
              </w:rPr>
            </w:pPr>
            <w:r>
              <w:rPr>
                <w:kern w:val="0"/>
                <w:sz w:val="18"/>
                <w:szCs w:val="18"/>
                <w:lang w:bidi="ar"/>
              </w:rPr>
              <w:t xml:space="preserve">Amount Advanced by ADB </w:t>
            </w:r>
          </w:p>
        </w:tc>
        <w:tc>
          <w:tcPr>
            <w:tcW w:w="3305" w:type="dxa"/>
            <w:tcBorders>
              <w:top w:val="single" w:color="auto" w:sz="4" w:space="0"/>
              <w:left w:val="nil"/>
              <w:bottom w:val="single" w:color="auto" w:sz="4" w:space="0"/>
              <w:right w:val="single" w:color="auto" w:sz="4" w:space="0"/>
            </w:tcBorders>
            <w:vAlign w:val="center"/>
          </w:tcPr>
          <w:p>
            <w:pPr>
              <w:pStyle w:val="30"/>
              <w:widowControl/>
              <w:jc w:val="right"/>
              <w:textAlignment w:val="center"/>
              <w:rPr>
                <w:sz w:val="18"/>
                <w:szCs w:val="18"/>
              </w:rPr>
            </w:pPr>
            <w:r>
              <w:rPr>
                <w:sz w:val="18"/>
                <w:szCs w:val="18"/>
              </w:rPr>
              <w:t>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减：1.亚行回收总额</w:t>
            </w:r>
          </w:p>
          <w:p>
            <w:pPr>
              <w:pStyle w:val="30"/>
              <w:widowControl/>
              <w:textAlignment w:val="center"/>
              <w:rPr>
                <w:kern w:val="0"/>
                <w:sz w:val="18"/>
                <w:szCs w:val="18"/>
                <w:lang w:bidi="ar"/>
              </w:rPr>
            </w:pPr>
            <w:r>
              <w:rPr>
                <w:kern w:val="0"/>
                <w:sz w:val="18"/>
                <w:szCs w:val="18"/>
                <w:lang w:bidi="ar"/>
              </w:rPr>
              <w:t xml:space="preserve">Less: 1. Total Amount Recovered by ADB </w:t>
            </w:r>
          </w:p>
        </w:tc>
        <w:tc>
          <w:tcPr>
            <w:tcW w:w="3305" w:type="dxa"/>
            <w:tcBorders>
              <w:top w:val="single" w:color="auto" w:sz="4" w:space="0"/>
              <w:left w:val="nil"/>
              <w:bottom w:val="single" w:color="auto" w:sz="4" w:space="0"/>
              <w:right w:val="single" w:color="auto" w:sz="4" w:space="0"/>
            </w:tcBorders>
            <w:vAlign w:val="center"/>
          </w:tcPr>
          <w:p>
            <w:pPr>
              <w:pStyle w:val="30"/>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2.本期期末专用账户首次存款净额</w:t>
            </w:r>
          </w:p>
          <w:p>
            <w:pPr>
              <w:pStyle w:val="30"/>
              <w:widowControl/>
              <w:textAlignment w:val="center"/>
              <w:rPr>
                <w:kern w:val="0"/>
                <w:sz w:val="18"/>
                <w:szCs w:val="18"/>
                <w:lang w:bidi="ar"/>
              </w:rPr>
            </w:pPr>
            <w:r>
              <w:rPr>
                <w:kern w:val="0"/>
                <w:sz w:val="18"/>
                <w:szCs w:val="18"/>
                <w:lang w:bidi="ar"/>
              </w:rPr>
              <w:t xml:space="preserve">Outstanding Amount Advanced to the Special Account at the End of this Period </w:t>
            </w:r>
          </w:p>
        </w:tc>
        <w:tc>
          <w:tcPr>
            <w:tcW w:w="3305" w:type="dxa"/>
            <w:tcBorders>
              <w:top w:val="single" w:color="auto" w:sz="4" w:space="0"/>
              <w:left w:val="nil"/>
              <w:bottom w:val="single" w:color="auto" w:sz="4" w:space="0"/>
              <w:right w:val="single" w:color="auto" w:sz="4" w:space="0"/>
            </w:tcBorders>
            <w:vAlign w:val="center"/>
          </w:tcPr>
          <w:p>
            <w:pPr>
              <w:pStyle w:val="30"/>
              <w:widowControl/>
              <w:jc w:val="right"/>
              <w:textAlignment w:val="center"/>
              <w:rPr>
                <w:sz w:val="18"/>
                <w:szCs w:val="18"/>
              </w:rPr>
            </w:pPr>
            <w:r>
              <w:rPr>
                <w:sz w:val="18"/>
                <w:szCs w:val="18"/>
              </w:rPr>
              <w:t>5,000,000.00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 xml:space="preserve"> 3.专用账户期末净额</w:t>
            </w:r>
          </w:p>
          <w:p>
            <w:pPr>
              <w:pStyle w:val="30"/>
              <w:widowControl/>
              <w:textAlignment w:val="center"/>
              <w:rPr>
                <w:kern w:val="0"/>
                <w:sz w:val="18"/>
                <w:szCs w:val="18"/>
                <w:lang w:bidi="ar"/>
              </w:rPr>
            </w:pPr>
            <w:r>
              <w:rPr>
                <w:kern w:val="0"/>
                <w:sz w:val="18"/>
                <w:szCs w:val="18"/>
                <w:lang w:bidi="ar"/>
              </w:rPr>
              <w:t xml:space="preserve">Ending Balance of Special Account </w:t>
            </w:r>
          </w:p>
        </w:tc>
        <w:tc>
          <w:tcPr>
            <w:tcW w:w="3305" w:type="dxa"/>
            <w:tcBorders>
              <w:top w:val="single" w:color="auto" w:sz="4" w:space="0"/>
              <w:left w:val="nil"/>
              <w:bottom w:val="single" w:color="auto" w:sz="4" w:space="0"/>
              <w:right w:val="single" w:color="auto" w:sz="4" w:space="0"/>
            </w:tcBorders>
            <w:vAlign w:val="center"/>
          </w:tcPr>
          <w:p>
            <w:pPr>
              <w:pStyle w:val="30"/>
              <w:widowControl/>
              <w:jc w:val="right"/>
              <w:textAlignment w:val="center"/>
              <w:rPr>
                <w:sz w:val="18"/>
                <w:szCs w:val="18"/>
              </w:rPr>
            </w:pPr>
            <w:r>
              <w:rPr>
                <w:sz w:val="18"/>
                <w:szCs w:val="18"/>
              </w:rPr>
              <w:t>2,039,700.04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加：1.截至本期期末已申请报账但尚未回补金额</w:t>
            </w:r>
          </w:p>
          <w:p>
            <w:pPr>
              <w:pStyle w:val="30"/>
              <w:widowControl/>
              <w:textAlignment w:val="center"/>
              <w:rPr>
                <w:kern w:val="0"/>
                <w:sz w:val="18"/>
                <w:szCs w:val="18"/>
                <w:lang w:bidi="ar"/>
              </w:rPr>
            </w:pPr>
            <w:r>
              <w:rPr>
                <w:kern w:val="0"/>
                <w:sz w:val="18"/>
                <w:szCs w:val="18"/>
                <w:lang w:bidi="ar"/>
              </w:rPr>
              <w:t xml:space="preserve">Add: 1. Amount Claimed but not yet Credited at the End of this Period </w:t>
            </w:r>
          </w:p>
        </w:tc>
        <w:tc>
          <w:tcPr>
            <w:tcW w:w="3305" w:type="dxa"/>
            <w:tcBorders>
              <w:top w:val="single" w:color="auto" w:sz="4" w:space="0"/>
              <w:left w:val="nil"/>
              <w:bottom w:val="single" w:color="auto" w:sz="4" w:space="0"/>
              <w:right w:val="single" w:color="auto" w:sz="4" w:space="0"/>
            </w:tcBorders>
            <w:vAlign w:val="center"/>
          </w:tcPr>
          <w:p>
            <w:pPr>
              <w:pStyle w:val="30"/>
              <w:jc w:val="right"/>
              <w:rPr>
                <w:sz w:val="18"/>
                <w:szCs w:val="18"/>
              </w:rPr>
            </w:pPr>
            <w:r>
              <w:rPr>
                <w:rFonts w:hint="eastAsia"/>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 xml:space="preserve"> 2.截至本期已支付但尚未申请报账金额</w:t>
            </w:r>
          </w:p>
          <w:p>
            <w:pPr>
              <w:pStyle w:val="30"/>
              <w:widowControl/>
              <w:textAlignment w:val="center"/>
              <w:rPr>
                <w:kern w:val="0"/>
                <w:sz w:val="18"/>
                <w:szCs w:val="18"/>
                <w:lang w:bidi="ar"/>
              </w:rPr>
            </w:pPr>
            <w:r>
              <w:rPr>
                <w:kern w:val="0"/>
                <w:sz w:val="18"/>
                <w:szCs w:val="18"/>
                <w:lang w:bidi="ar"/>
              </w:rPr>
              <w:t xml:space="preserve">Amount Withdrawn but not yet Claimed at the End of this Period </w:t>
            </w:r>
          </w:p>
        </w:tc>
        <w:tc>
          <w:tcPr>
            <w:tcW w:w="3305" w:type="dxa"/>
            <w:tcBorders>
              <w:top w:val="single" w:color="auto" w:sz="4" w:space="0"/>
              <w:left w:val="nil"/>
              <w:bottom w:val="single" w:color="auto" w:sz="4" w:space="0"/>
              <w:right w:val="single" w:color="auto" w:sz="4" w:space="0"/>
            </w:tcBorders>
            <w:vAlign w:val="center"/>
          </w:tcPr>
          <w:p>
            <w:pPr>
              <w:pStyle w:val="30"/>
              <w:widowControl/>
              <w:jc w:val="right"/>
              <w:textAlignment w:val="center"/>
              <w:rPr>
                <w:sz w:val="18"/>
                <w:szCs w:val="18"/>
              </w:rPr>
            </w:pPr>
            <w:r>
              <w:rPr>
                <w:sz w:val="18"/>
                <w:szCs w:val="18"/>
              </w:rPr>
              <w:t>2,960,828.20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 xml:space="preserve"> 3.服务费累计支出（如未含在1和2栏中）</w:t>
            </w:r>
          </w:p>
          <w:p>
            <w:pPr>
              <w:pStyle w:val="30"/>
              <w:widowControl/>
              <w:textAlignment w:val="center"/>
              <w:rPr>
                <w:kern w:val="0"/>
                <w:sz w:val="18"/>
                <w:szCs w:val="18"/>
                <w:lang w:bidi="ar"/>
              </w:rPr>
            </w:pPr>
            <w:r>
              <w:rPr>
                <w:kern w:val="0"/>
                <w:sz w:val="18"/>
                <w:szCs w:val="18"/>
                <w:lang w:bidi="ar"/>
              </w:rPr>
              <w:t xml:space="preserve"> Cumulative Service Charges (If not Included in Item 1 or 2) </w:t>
            </w:r>
          </w:p>
        </w:tc>
        <w:tc>
          <w:tcPr>
            <w:tcW w:w="3305" w:type="dxa"/>
            <w:tcBorders>
              <w:top w:val="single" w:color="auto" w:sz="4" w:space="0"/>
              <w:left w:val="nil"/>
              <w:bottom w:val="single" w:color="auto" w:sz="4" w:space="0"/>
              <w:right w:val="single" w:color="auto" w:sz="4" w:space="0"/>
            </w:tcBorders>
            <w:vAlign w:val="center"/>
          </w:tcPr>
          <w:p>
            <w:pPr>
              <w:pStyle w:val="30"/>
              <w:widowControl/>
              <w:jc w:val="right"/>
              <w:textAlignment w:val="center"/>
              <w:rPr>
                <w:sz w:val="18"/>
                <w:szCs w:val="18"/>
              </w:rPr>
            </w:pPr>
            <w:r>
              <w:rPr>
                <w:sz w:val="18"/>
                <w:szCs w:val="18"/>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减：利息收入</w:t>
            </w:r>
          </w:p>
          <w:p>
            <w:pPr>
              <w:pStyle w:val="30"/>
              <w:widowControl/>
              <w:textAlignment w:val="center"/>
              <w:rPr>
                <w:kern w:val="0"/>
                <w:sz w:val="18"/>
                <w:szCs w:val="18"/>
                <w:lang w:bidi="ar"/>
              </w:rPr>
            </w:pPr>
            <w:r>
              <w:rPr>
                <w:kern w:val="0"/>
                <w:sz w:val="18"/>
                <w:szCs w:val="18"/>
                <w:lang w:bidi="ar"/>
              </w:rPr>
              <w:t xml:space="preserve">Less: Interest Income </w:t>
            </w:r>
          </w:p>
        </w:tc>
        <w:tc>
          <w:tcPr>
            <w:tcW w:w="3305" w:type="dxa"/>
            <w:tcBorders>
              <w:top w:val="single" w:color="auto" w:sz="4" w:space="0"/>
              <w:left w:val="nil"/>
              <w:bottom w:val="single" w:color="auto" w:sz="4" w:space="0"/>
              <w:right w:val="single" w:color="auto" w:sz="4" w:space="0"/>
            </w:tcBorders>
            <w:vAlign w:val="center"/>
          </w:tcPr>
          <w:p>
            <w:pPr>
              <w:pStyle w:val="30"/>
              <w:widowControl/>
              <w:jc w:val="right"/>
              <w:textAlignment w:val="center"/>
              <w:rPr>
                <w:sz w:val="18"/>
                <w:szCs w:val="18"/>
              </w:rPr>
            </w:pPr>
            <w:r>
              <w:rPr>
                <w:sz w:val="18"/>
                <w:szCs w:val="18"/>
              </w:rPr>
              <w:t>548.24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5756" w:type="dxa"/>
            <w:tcBorders>
              <w:top w:val="single" w:color="auto" w:sz="4" w:space="0"/>
              <w:left w:val="single" w:color="auto" w:sz="4" w:space="0"/>
              <w:bottom w:val="single" w:color="auto" w:sz="4" w:space="0"/>
              <w:right w:val="single" w:color="auto" w:sz="4" w:space="0"/>
            </w:tcBorders>
            <w:vAlign w:val="center"/>
          </w:tcPr>
          <w:p>
            <w:pPr>
              <w:pStyle w:val="30"/>
              <w:widowControl/>
              <w:textAlignment w:val="center"/>
              <w:rPr>
                <w:kern w:val="0"/>
                <w:sz w:val="18"/>
                <w:szCs w:val="18"/>
                <w:lang w:bidi="ar"/>
              </w:rPr>
            </w:pPr>
            <w:r>
              <w:rPr>
                <w:kern w:val="0"/>
                <w:sz w:val="18"/>
                <w:szCs w:val="18"/>
                <w:lang w:bidi="ar"/>
              </w:rPr>
              <w:t>本期期末专用账户首次存款净额</w:t>
            </w:r>
          </w:p>
          <w:p>
            <w:pPr>
              <w:pStyle w:val="30"/>
              <w:widowControl/>
              <w:textAlignment w:val="center"/>
              <w:rPr>
                <w:kern w:val="0"/>
                <w:sz w:val="18"/>
                <w:szCs w:val="18"/>
                <w:lang w:bidi="ar"/>
              </w:rPr>
            </w:pPr>
            <w:r>
              <w:rPr>
                <w:kern w:val="0"/>
                <w:sz w:val="18"/>
                <w:szCs w:val="18"/>
                <w:lang w:bidi="ar"/>
              </w:rPr>
              <w:t xml:space="preserve">Total Advance to the Special Account Accounted for at the End of this Period </w:t>
            </w:r>
          </w:p>
        </w:tc>
        <w:tc>
          <w:tcPr>
            <w:tcW w:w="3305" w:type="dxa"/>
            <w:tcBorders>
              <w:top w:val="single" w:color="auto" w:sz="4" w:space="0"/>
              <w:left w:val="nil"/>
              <w:bottom w:val="single" w:color="auto" w:sz="4" w:space="0"/>
              <w:right w:val="single" w:color="auto" w:sz="4" w:space="0"/>
            </w:tcBorders>
            <w:vAlign w:val="center"/>
          </w:tcPr>
          <w:p>
            <w:pPr>
              <w:pStyle w:val="30"/>
              <w:widowControl/>
              <w:jc w:val="right"/>
              <w:textAlignment w:val="center"/>
              <w:rPr>
                <w:sz w:val="18"/>
                <w:szCs w:val="18"/>
              </w:rPr>
            </w:pPr>
            <w:r>
              <w:rPr>
                <w:sz w:val="18"/>
                <w:szCs w:val="18"/>
              </w:rPr>
              <w:t>5,000,000.00</w:t>
            </w:r>
          </w:p>
        </w:tc>
      </w:tr>
    </w:tbl>
    <w:p>
      <w:pPr>
        <w:pStyle w:val="25"/>
        <w:jc w:val="both"/>
        <w:sectPr>
          <w:footerReference r:id="rId7" w:type="default"/>
          <w:pgSz w:w="11906" w:h="16838"/>
          <w:pgMar w:top="2098" w:right="1474" w:bottom="1984" w:left="1587" w:header="851" w:footer="992" w:gutter="0"/>
          <w:cols w:space="720" w:num="1"/>
          <w:docGrid w:type="lines" w:linePitch="386" w:charSpace="0"/>
        </w:sectPr>
      </w:pPr>
    </w:p>
    <w:p>
      <w:pPr>
        <w:pStyle w:val="33"/>
        <w:keepLines w:val="0"/>
        <w:pageBreakBefore w:val="0"/>
        <w:kinsoku/>
        <w:wordWrap/>
        <w:overflowPunct/>
        <w:topLinePunct w:val="0"/>
        <w:bidi w:val="0"/>
        <w:spacing w:line="240" w:lineRule="auto"/>
        <w:textAlignment w:val="auto"/>
        <w:rPr>
          <w:rFonts w:ascii="Times New Roman"/>
        </w:rPr>
      </w:pPr>
      <w:bookmarkStart w:id="17" w:name="_Toc106960380"/>
      <w:r>
        <w:rPr>
          <w:rFonts w:ascii="Times New Roman"/>
        </w:rPr>
        <w:t>（五）财务报表附注</w:t>
      </w:r>
      <w:bookmarkEnd w:id="17"/>
    </w:p>
    <w:p>
      <w:pPr>
        <w:pStyle w:val="11"/>
        <w:keepLines w:val="0"/>
        <w:pageBreakBefore w:val="0"/>
        <w:kinsoku/>
        <w:wordWrap/>
        <w:overflowPunct/>
        <w:topLinePunct w:val="0"/>
        <w:bidi w:val="0"/>
        <w:spacing w:line="240" w:lineRule="auto"/>
        <w:textAlignment w:val="auto"/>
        <w:rPr>
          <w:rFonts w:eastAsia="仿宋_GB2312"/>
          <w:b/>
          <w:sz w:val="28"/>
          <w:szCs w:val="28"/>
        </w:rPr>
      </w:pPr>
    </w:p>
    <w:p>
      <w:pPr>
        <w:pStyle w:val="15"/>
        <w:keepLines w:val="0"/>
        <w:pageBreakBefore w:val="0"/>
        <w:kinsoku/>
        <w:wordWrap/>
        <w:overflowPunct/>
        <w:topLinePunct w:val="0"/>
        <w:bidi w:val="0"/>
        <w:spacing w:line="240" w:lineRule="auto"/>
        <w:textAlignment w:val="auto"/>
        <w:outlineLvl w:val="1"/>
      </w:pPr>
      <w:r>
        <w:rPr>
          <w:rFonts w:ascii="仿宋_GB2312"/>
        </w:rPr>
        <w:t>财务报表附注</w:t>
      </w:r>
    </w:p>
    <w:p>
      <w:pPr>
        <w:pStyle w:val="11"/>
        <w:keepLines w:val="0"/>
        <w:pageBreakBefore w:val="0"/>
        <w:kinsoku/>
        <w:wordWrap/>
        <w:overflowPunct/>
        <w:topLinePunct w:val="0"/>
        <w:bidi w:val="0"/>
        <w:spacing w:line="240" w:lineRule="auto"/>
        <w:jc w:val="center"/>
        <w:textAlignment w:val="auto"/>
        <w:rPr>
          <w:rFonts w:eastAsia="仿宋_GB2312"/>
          <w:b/>
          <w:sz w:val="36"/>
          <w:szCs w:val="36"/>
        </w:rPr>
      </w:pPr>
      <w:r>
        <w:rPr>
          <w:rFonts w:eastAsia="仿宋_GB2312"/>
          <w:b/>
          <w:sz w:val="36"/>
          <w:szCs w:val="36"/>
        </w:rPr>
        <w:t xml:space="preserve"> </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1"/>
        <w:rPr>
          <w:rFonts w:eastAsia="仿宋_GB2312"/>
          <w:sz w:val="28"/>
          <w:szCs w:val="28"/>
        </w:rPr>
      </w:pPr>
      <w:r>
        <w:rPr>
          <w:rFonts w:eastAsia="仿宋_GB2312"/>
          <w:sz w:val="28"/>
          <w:szCs w:val="28"/>
        </w:rPr>
        <w:t xml:space="preserve">1. </w:t>
      </w:r>
      <w:r>
        <w:rPr>
          <w:rFonts w:ascii="仿宋_GB2312" w:eastAsia="仿宋_GB2312"/>
          <w:sz w:val="28"/>
          <w:szCs w:val="28"/>
        </w:rPr>
        <w:t>项目概况</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ascii="仿宋_GB2312" w:eastAsia="仿宋_GB2312"/>
          <w:sz w:val="28"/>
          <w:szCs w:val="28"/>
        </w:rPr>
        <w:t>亚洲开发银行贷款四川资阳绿色转型和发展项目（以下简称</w:t>
      </w:r>
      <w:r>
        <w:rPr>
          <w:rFonts w:eastAsia="仿宋_GB2312"/>
          <w:sz w:val="28"/>
          <w:szCs w:val="28"/>
        </w:rPr>
        <w:t>“</w:t>
      </w:r>
      <w:r>
        <w:rPr>
          <w:rFonts w:ascii="仿宋_GB2312" w:eastAsia="仿宋_GB2312"/>
          <w:sz w:val="28"/>
          <w:szCs w:val="28"/>
        </w:rPr>
        <w:t>本项目</w:t>
      </w:r>
      <w:r>
        <w:rPr>
          <w:rFonts w:eastAsia="仿宋_GB2312"/>
          <w:sz w:val="28"/>
          <w:szCs w:val="28"/>
        </w:rPr>
        <w:t>”</w:t>
      </w:r>
      <w:r>
        <w:rPr>
          <w:rFonts w:ascii="仿宋_GB2312" w:eastAsia="仿宋_GB2312"/>
          <w:sz w:val="28"/>
          <w:szCs w:val="28"/>
        </w:rPr>
        <w:t>）贷款协定编号为</w:t>
      </w:r>
      <w:r>
        <w:rPr>
          <w:rFonts w:eastAsia="仿宋_GB2312"/>
          <w:sz w:val="28"/>
          <w:szCs w:val="28"/>
        </w:rPr>
        <w:t>3766-PRC</w:t>
      </w:r>
      <w:r>
        <w:rPr>
          <w:rFonts w:ascii="仿宋_GB2312" w:eastAsia="仿宋_GB2312"/>
          <w:sz w:val="28"/>
          <w:szCs w:val="28"/>
        </w:rPr>
        <w:t>，项目旨在改善资阳高新技术产业园区的经济和环境条件，实现更具包容性的绿色发展。</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ascii="仿宋_GB2312" w:eastAsia="仿宋_GB2312"/>
          <w:sz w:val="28"/>
          <w:szCs w:val="28"/>
        </w:rPr>
        <w:t>项目可研批复总投资</w:t>
      </w:r>
      <w:r>
        <w:rPr>
          <w:rFonts w:eastAsia="仿宋_GB2312"/>
          <w:sz w:val="28"/>
          <w:szCs w:val="28"/>
        </w:rPr>
        <w:t>253,182.56</w:t>
      </w:r>
      <w:r>
        <w:rPr>
          <w:rFonts w:ascii="仿宋_GB2312" w:eastAsia="仿宋_GB2312"/>
          <w:sz w:val="28"/>
          <w:szCs w:val="28"/>
        </w:rPr>
        <w:t>万元人民币，其中使用亚洲开发银行贷款</w:t>
      </w:r>
      <w:r>
        <w:rPr>
          <w:rFonts w:eastAsia="仿宋_GB2312"/>
          <w:sz w:val="28"/>
          <w:szCs w:val="28"/>
        </w:rPr>
        <w:t>2</w:t>
      </w:r>
      <w:r>
        <w:rPr>
          <w:rFonts w:ascii="仿宋_GB2312" w:eastAsia="仿宋_GB2312"/>
          <w:sz w:val="28"/>
          <w:szCs w:val="28"/>
        </w:rPr>
        <w:t>亿美元（按</w:t>
      </w:r>
      <w:r>
        <w:rPr>
          <w:rFonts w:eastAsia="仿宋_GB2312"/>
          <w:sz w:val="28"/>
          <w:szCs w:val="28"/>
        </w:rPr>
        <w:t>1:6.46</w:t>
      </w:r>
      <w:r>
        <w:rPr>
          <w:rFonts w:ascii="仿宋_GB2312" w:eastAsia="仿宋_GB2312"/>
          <w:sz w:val="28"/>
          <w:szCs w:val="28"/>
        </w:rPr>
        <w:t>汇率折合人民币</w:t>
      </w:r>
      <w:r>
        <w:rPr>
          <w:rFonts w:eastAsia="仿宋_GB2312"/>
          <w:sz w:val="28"/>
          <w:szCs w:val="28"/>
        </w:rPr>
        <w:t>129,200</w:t>
      </w:r>
      <w:r>
        <w:rPr>
          <w:rFonts w:ascii="仿宋_GB2312" w:eastAsia="仿宋_GB2312"/>
          <w:sz w:val="28"/>
          <w:szCs w:val="28"/>
        </w:rPr>
        <w:t>万元），其余地方财政配套。项目《贷款协定》于</w:t>
      </w:r>
      <w:r>
        <w:rPr>
          <w:rFonts w:eastAsia="仿宋_GB2312"/>
          <w:sz w:val="28"/>
          <w:szCs w:val="28"/>
        </w:rPr>
        <w:t>2019</w:t>
      </w:r>
      <w:r>
        <w:rPr>
          <w:rFonts w:ascii="仿宋_GB2312" w:eastAsia="仿宋_GB2312"/>
          <w:sz w:val="28"/>
          <w:szCs w:val="28"/>
        </w:rPr>
        <w:t>年</w:t>
      </w:r>
      <w:r>
        <w:rPr>
          <w:rFonts w:eastAsia="仿宋_GB2312"/>
          <w:sz w:val="28"/>
          <w:szCs w:val="28"/>
        </w:rPr>
        <w:t>9</w:t>
      </w:r>
      <w:r>
        <w:rPr>
          <w:rFonts w:ascii="仿宋_GB2312" w:eastAsia="仿宋_GB2312"/>
          <w:sz w:val="28"/>
          <w:szCs w:val="28"/>
        </w:rPr>
        <w:t>月</w:t>
      </w:r>
      <w:r>
        <w:rPr>
          <w:rFonts w:eastAsia="仿宋_GB2312"/>
          <w:sz w:val="28"/>
          <w:szCs w:val="28"/>
        </w:rPr>
        <w:t>12</w:t>
      </w:r>
      <w:r>
        <w:rPr>
          <w:rFonts w:ascii="仿宋_GB2312" w:eastAsia="仿宋_GB2312"/>
          <w:sz w:val="28"/>
          <w:szCs w:val="28"/>
        </w:rPr>
        <w:t>日生效，贷款期</w:t>
      </w:r>
      <w:r>
        <w:rPr>
          <w:rFonts w:eastAsia="仿宋_GB2312"/>
          <w:sz w:val="28"/>
          <w:szCs w:val="28"/>
        </w:rPr>
        <w:t>25</w:t>
      </w:r>
      <w:r>
        <w:rPr>
          <w:rFonts w:ascii="仿宋_GB2312" w:eastAsia="仿宋_GB2312"/>
          <w:sz w:val="28"/>
          <w:szCs w:val="28"/>
        </w:rPr>
        <w:t>年（含宽限期</w:t>
      </w:r>
      <w:r>
        <w:rPr>
          <w:rFonts w:eastAsia="仿宋_GB2312"/>
          <w:sz w:val="28"/>
          <w:szCs w:val="28"/>
        </w:rPr>
        <w:t>6</w:t>
      </w:r>
      <w:r>
        <w:rPr>
          <w:rFonts w:ascii="仿宋_GB2312" w:eastAsia="仿宋_GB2312"/>
          <w:sz w:val="28"/>
          <w:szCs w:val="28"/>
        </w:rPr>
        <w:t>年），计划实施期</w:t>
      </w:r>
      <w:r>
        <w:rPr>
          <w:rFonts w:eastAsia="仿宋_GB2312"/>
          <w:sz w:val="28"/>
          <w:szCs w:val="28"/>
        </w:rPr>
        <w:t>6</w:t>
      </w:r>
      <w:r>
        <w:rPr>
          <w:rFonts w:ascii="仿宋_GB2312" w:eastAsia="仿宋_GB2312"/>
          <w:sz w:val="28"/>
          <w:szCs w:val="28"/>
        </w:rPr>
        <w:t>年，关账日为</w:t>
      </w:r>
      <w:r>
        <w:rPr>
          <w:rFonts w:eastAsia="仿宋_GB2312"/>
          <w:sz w:val="28"/>
          <w:szCs w:val="28"/>
        </w:rPr>
        <w:t>2025</w:t>
      </w:r>
      <w:r>
        <w:rPr>
          <w:rFonts w:ascii="仿宋_GB2312" w:eastAsia="仿宋_GB2312"/>
          <w:sz w:val="28"/>
          <w:szCs w:val="28"/>
        </w:rPr>
        <w:t>年</w:t>
      </w:r>
      <w:r>
        <w:rPr>
          <w:rFonts w:eastAsia="仿宋_GB2312"/>
          <w:sz w:val="28"/>
          <w:szCs w:val="28"/>
        </w:rPr>
        <w:t>6</w:t>
      </w:r>
      <w:r>
        <w:rPr>
          <w:rFonts w:ascii="仿宋_GB2312" w:eastAsia="仿宋_GB2312"/>
          <w:sz w:val="28"/>
          <w:szCs w:val="28"/>
        </w:rPr>
        <w:t>月</w:t>
      </w:r>
      <w:r>
        <w:rPr>
          <w:rFonts w:eastAsia="仿宋_GB2312"/>
          <w:sz w:val="28"/>
          <w:szCs w:val="28"/>
        </w:rPr>
        <w:t>30</w:t>
      </w:r>
      <w:r>
        <w:rPr>
          <w:rFonts w:ascii="仿宋_GB2312" w:eastAsia="仿宋_GB2312"/>
          <w:sz w:val="28"/>
          <w:szCs w:val="28"/>
        </w:rPr>
        <w:t>日。项目包括生态系统和环境基础设施建设项目、支持服务业扩展的设施和项目、加强城市发展规划和管理能力增强项目，以及项目管理和能力建设活动。项目执行单位为亚洲开发银行贷款四川资阳绿色转型和发展项目办公室（以下简称</w:t>
      </w:r>
      <w:r>
        <w:rPr>
          <w:rFonts w:hint="eastAsia" w:ascii="仿宋_GB2312" w:eastAsia="仿宋_GB2312"/>
          <w:sz w:val="28"/>
          <w:szCs w:val="28"/>
        </w:rPr>
        <w:t>“</w:t>
      </w:r>
      <w:r>
        <w:rPr>
          <w:rFonts w:ascii="仿宋_GB2312" w:eastAsia="仿宋_GB2312"/>
          <w:sz w:val="28"/>
          <w:szCs w:val="28"/>
        </w:rPr>
        <w:t>项目办</w:t>
      </w:r>
      <w:r>
        <w:rPr>
          <w:rFonts w:hint="eastAsia" w:ascii="仿宋_GB2312" w:eastAsia="仿宋_GB2312"/>
          <w:sz w:val="28"/>
          <w:szCs w:val="28"/>
        </w:rPr>
        <w:t>”</w:t>
      </w:r>
      <w:r>
        <w:rPr>
          <w:rFonts w:ascii="仿宋_GB2312" w:eastAsia="仿宋_GB2312"/>
          <w:sz w:val="28"/>
          <w:szCs w:val="28"/>
        </w:rPr>
        <w:t>），</w:t>
      </w:r>
      <w:r>
        <w:rPr>
          <w:rFonts w:hint="eastAsia" w:ascii="仿宋_GB2312" w:eastAsia="仿宋_GB2312"/>
          <w:sz w:val="28"/>
          <w:szCs w:val="28"/>
        </w:rPr>
        <w:t>项目实施机构</w:t>
      </w:r>
      <w:r>
        <w:rPr>
          <w:rFonts w:ascii="仿宋_GB2312" w:eastAsia="仿宋_GB2312"/>
          <w:sz w:val="28"/>
          <w:szCs w:val="28"/>
        </w:rPr>
        <w:t>为</w:t>
      </w:r>
      <w:r>
        <w:rPr>
          <w:rFonts w:hint="eastAsia" w:ascii="仿宋_GB2312" w:eastAsia="仿宋_GB2312"/>
          <w:sz w:val="28"/>
          <w:szCs w:val="28"/>
        </w:rPr>
        <w:t>四川</w:t>
      </w:r>
      <w:r>
        <w:rPr>
          <w:rFonts w:ascii="仿宋_GB2312" w:eastAsia="仿宋_GB2312"/>
          <w:sz w:val="28"/>
          <w:szCs w:val="28"/>
        </w:rPr>
        <w:t>资阳高新技术产业园区管理委员会</w:t>
      </w:r>
      <w:r>
        <w:rPr>
          <w:rFonts w:hint="eastAsia" w:ascii="仿宋_GB2312" w:eastAsia="仿宋_GB2312"/>
          <w:sz w:val="28"/>
          <w:szCs w:val="28"/>
        </w:rPr>
        <w:t>（以下简称“资阳高新管委会”）</w:t>
      </w:r>
      <w:r>
        <w:rPr>
          <w:rFonts w:ascii="仿宋_GB2312" w:eastAsia="仿宋_GB2312"/>
          <w:sz w:val="28"/>
          <w:szCs w:val="28"/>
        </w:rPr>
        <w:t>、资阳市教育和体育局。</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eastAsia="仿宋_GB2312"/>
          <w:sz w:val="28"/>
          <w:szCs w:val="28"/>
        </w:rPr>
        <w:t xml:space="preserve"> </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1"/>
        <w:rPr>
          <w:rFonts w:eastAsia="仿宋_GB2312"/>
          <w:sz w:val="28"/>
          <w:szCs w:val="28"/>
        </w:rPr>
      </w:pPr>
      <w:r>
        <w:rPr>
          <w:rFonts w:eastAsia="仿宋_GB2312"/>
          <w:sz w:val="28"/>
          <w:szCs w:val="28"/>
        </w:rPr>
        <w:t xml:space="preserve">2. </w:t>
      </w:r>
      <w:r>
        <w:rPr>
          <w:rFonts w:ascii="仿宋_GB2312" w:eastAsia="仿宋_GB2312"/>
          <w:sz w:val="28"/>
          <w:szCs w:val="28"/>
        </w:rPr>
        <w:t>财务报表编制范围</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ascii="仿宋_GB2312" w:eastAsia="仿宋_GB2312"/>
          <w:sz w:val="28"/>
          <w:szCs w:val="28"/>
        </w:rPr>
        <w:t>本财务报表为</w:t>
      </w:r>
      <w:r>
        <w:rPr>
          <w:rFonts w:hint="eastAsia" w:ascii="仿宋_GB2312" w:eastAsia="仿宋_GB2312"/>
          <w:sz w:val="28"/>
          <w:szCs w:val="28"/>
        </w:rPr>
        <w:t>本项目</w:t>
      </w:r>
      <w:r>
        <w:rPr>
          <w:rFonts w:ascii="仿宋_GB2312" w:eastAsia="仿宋_GB2312"/>
          <w:sz w:val="28"/>
          <w:szCs w:val="28"/>
        </w:rPr>
        <w:t>的汇总财务报表，包括资阳高新投资集团有限公司、资阳市财政局在途拨款、四川省财政厅亚行贷款专户核算子项目财务报表及四川省财政厅专用账户报表。</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eastAsia="仿宋_GB2312"/>
          <w:sz w:val="28"/>
          <w:szCs w:val="28"/>
        </w:rPr>
        <w:t xml:space="preserve"> </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1"/>
        <w:rPr>
          <w:rFonts w:eastAsia="仿宋_GB2312"/>
          <w:sz w:val="28"/>
          <w:szCs w:val="28"/>
        </w:rPr>
      </w:pPr>
      <w:r>
        <w:rPr>
          <w:rFonts w:eastAsia="仿宋_GB2312"/>
          <w:sz w:val="28"/>
          <w:szCs w:val="28"/>
        </w:rPr>
        <w:t xml:space="preserve">3. </w:t>
      </w:r>
      <w:r>
        <w:rPr>
          <w:rFonts w:ascii="仿宋_GB2312" w:eastAsia="仿宋_GB2312"/>
          <w:sz w:val="28"/>
          <w:szCs w:val="28"/>
        </w:rPr>
        <w:t>主要会计政策</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eastAsia="仿宋_GB2312"/>
          <w:sz w:val="28"/>
          <w:szCs w:val="28"/>
        </w:rPr>
        <w:t>3.1</w:t>
      </w:r>
      <w:r>
        <w:rPr>
          <w:rFonts w:hint="eastAsia" w:ascii="仿宋_GB2312" w:eastAsia="仿宋_GB2312"/>
          <w:sz w:val="28"/>
          <w:szCs w:val="28"/>
        </w:rPr>
        <w:t>本项目财务报表是按照财政部《关于统一亚洲开发银行贷款项目会计核算办法的通知》（财国际〔</w:t>
      </w:r>
      <w:r>
        <w:rPr>
          <w:rFonts w:hint="eastAsia" w:eastAsia="仿宋_GB2312"/>
          <w:sz w:val="28"/>
          <w:szCs w:val="28"/>
        </w:rPr>
        <w:t>2005</w:t>
      </w:r>
      <w:r>
        <w:rPr>
          <w:rFonts w:hint="eastAsia" w:ascii="仿宋_GB2312" w:eastAsia="仿宋_GB2312"/>
          <w:sz w:val="28"/>
          <w:szCs w:val="28"/>
        </w:rPr>
        <w:t>〕</w:t>
      </w:r>
      <w:r>
        <w:rPr>
          <w:rFonts w:hint="eastAsia" w:eastAsia="仿宋_GB2312"/>
          <w:sz w:val="28"/>
          <w:szCs w:val="28"/>
        </w:rPr>
        <w:t>6</w:t>
      </w:r>
      <w:r>
        <w:rPr>
          <w:rFonts w:hint="eastAsia" w:ascii="仿宋_GB2312" w:eastAsia="仿宋_GB2312"/>
          <w:sz w:val="28"/>
          <w:szCs w:val="28"/>
        </w:rPr>
        <w:t>号）、财政部《关于印发</w:t>
      </w:r>
      <w:r>
        <w:rPr>
          <w:rFonts w:hint="eastAsia" w:eastAsia="仿宋_GB2312"/>
          <w:sz w:val="28"/>
          <w:szCs w:val="28"/>
        </w:rPr>
        <w:t>&lt;</w:t>
      </w:r>
      <w:r>
        <w:rPr>
          <w:rFonts w:hint="eastAsia" w:ascii="仿宋_GB2312" w:eastAsia="仿宋_GB2312"/>
          <w:sz w:val="28"/>
          <w:szCs w:val="28"/>
        </w:rPr>
        <w:t>世界银行贷款项目会计核算办法</w:t>
      </w:r>
      <w:r>
        <w:rPr>
          <w:rFonts w:hint="eastAsia" w:eastAsia="仿宋_GB2312"/>
          <w:sz w:val="28"/>
          <w:szCs w:val="28"/>
        </w:rPr>
        <w:t>&gt;</w:t>
      </w:r>
      <w:r>
        <w:rPr>
          <w:rFonts w:hint="eastAsia" w:ascii="仿宋_GB2312" w:eastAsia="仿宋_GB2312"/>
          <w:sz w:val="28"/>
          <w:szCs w:val="28"/>
        </w:rPr>
        <w:t>的通知》（财际字〔</w:t>
      </w:r>
      <w:r>
        <w:rPr>
          <w:rFonts w:hint="eastAsia" w:eastAsia="仿宋_GB2312"/>
          <w:sz w:val="28"/>
          <w:szCs w:val="28"/>
        </w:rPr>
        <w:t>2000</w:t>
      </w:r>
      <w:r>
        <w:rPr>
          <w:rFonts w:hint="eastAsia" w:ascii="仿宋_GB2312" w:eastAsia="仿宋_GB2312"/>
          <w:sz w:val="28"/>
          <w:szCs w:val="28"/>
        </w:rPr>
        <w:t>〕</w:t>
      </w:r>
      <w:r>
        <w:rPr>
          <w:rFonts w:hint="eastAsia" w:eastAsia="仿宋_GB2312"/>
          <w:sz w:val="28"/>
          <w:szCs w:val="28"/>
        </w:rPr>
        <w:t>13</w:t>
      </w:r>
      <w:r>
        <w:rPr>
          <w:rFonts w:hint="eastAsia" w:ascii="仿宋_GB2312" w:eastAsia="仿宋_GB2312"/>
          <w:sz w:val="28"/>
          <w:szCs w:val="28"/>
        </w:rPr>
        <w:t>号）、《亚洲开发银行贷款资阳绿色转型和发展项目财务管理手册》（资绿项办发〔</w:t>
      </w:r>
      <w:r>
        <w:rPr>
          <w:rFonts w:hint="eastAsia" w:eastAsia="仿宋_GB2312"/>
          <w:sz w:val="28"/>
          <w:szCs w:val="28"/>
        </w:rPr>
        <w:t>2020</w:t>
      </w:r>
      <w:r>
        <w:rPr>
          <w:rFonts w:hint="eastAsia" w:ascii="仿宋_GB2312" w:eastAsia="仿宋_GB2312"/>
          <w:sz w:val="28"/>
          <w:szCs w:val="28"/>
        </w:rPr>
        <w:t>〕</w:t>
      </w:r>
      <w:r>
        <w:rPr>
          <w:rFonts w:hint="eastAsia" w:eastAsia="仿宋_GB2312"/>
          <w:sz w:val="28"/>
          <w:szCs w:val="28"/>
        </w:rPr>
        <w:t>2</w:t>
      </w:r>
      <w:r>
        <w:rPr>
          <w:rFonts w:hint="eastAsia" w:ascii="仿宋_GB2312" w:eastAsia="仿宋_GB2312"/>
          <w:sz w:val="28"/>
          <w:szCs w:val="28"/>
        </w:rPr>
        <w:t>号）以及资阳市人民政府与亚洲开发银行签订《四川资阳包容性绿色发展项目项目管理手册》的要求编制。</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eastAsia="仿宋_GB2312"/>
          <w:sz w:val="28"/>
          <w:szCs w:val="28"/>
        </w:rPr>
        <w:t>3.2</w:t>
      </w:r>
      <w:r>
        <w:rPr>
          <w:rFonts w:hint="eastAsia" w:ascii="仿宋_GB2312" w:eastAsia="仿宋_GB2312"/>
          <w:sz w:val="28"/>
          <w:szCs w:val="28"/>
        </w:rPr>
        <w:t>会计核算年度采用公历年制，即公历每年</w:t>
      </w:r>
      <w:r>
        <w:rPr>
          <w:rFonts w:hint="eastAsia" w:eastAsia="仿宋_GB2312"/>
          <w:sz w:val="28"/>
          <w:szCs w:val="28"/>
        </w:rPr>
        <w:t>1</w:t>
      </w:r>
      <w:r>
        <w:rPr>
          <w:rFonts w:hint="eastAsia" w:ascii="仿宋_GB2312" w:eastAsia="仿宋_GB2312"/>
          <w:sz w:val="28"/>
          <w:szCs w:val="28"/>
        </w:rPr>
        <w:t>月</w:t>
      </w:r>
      <w:r>
        <w:rPr>
          <w:rFonts w:hint="eastAsia" w:eastAsia="仿宋_GB2312"/>
          <w:sz w:val="28"/>
          <w:szCs w:val="28"/>
        </w:rPr>
        <w:t>1</w:t>
      </w:r>
      <w:r>
        <w:rPr>
          <w:rFonts w:hint="eastAsia" w:ascii="仿宋_GB2312" w:eastAsia="仿宋_GB2312"/>
          <w:sz w:val="28"/>
          <w:szCs w:val="28"/>
        </w:rPr>
        <w:t>日至</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eastAsia="仿宋_GB2312"/>
          <w:sz w:val="28"/>
          <w:szCs w:val="28"/>
        </w:rPr>
        <w:t>3.3</w:t>
      </w:r>
      <w:r>
        <w:rPr>
          <w:rFonts w:hint="eastAsia" w:ascii="仿宋_GB2312" w:eastAsia="仿宋_GB2312"/>
          <w:sz w:val="28"/>
          <w:szCs w:val="28"/>
        </w:rPr>
        <w:t>本项目会计核算以“权责发生制”作为记账原则，采用借贷复式记账法记账，人民币为记账本位币。</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eastAsia="仿宋_GB2312"/>
          <w:sz w:val="28"/>
          <w:szCs w:val="28"/>
        </w:rPr>
        <w:t>3.4</w:t>
      </w:r>
      <w:r>
        <w:rPr>
          <w:rFonts w:hint="eastAsia" w:ascii="仿宋_GB2312" w:eastAsia="仿宋_GB2312"/>
          <w:sz w:val="28"/>
          <w:szCs w:val="28"/>
        </w:rPr>
        <w:t>按照中国人民银行</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日美元兑换人民币的中间价作为本次报表的计算汇率，即</w:t>
      </w:r>
      <w:r>
        <w:rPr>
          <w:rFonts w:hint="eastAsia" w:eastAsia="仿宋_GB2312"/>
          <w:sz w:val="28"/>
          <w:szCs w:val="28"/>
        </w:rPr>
        <w:t>1</w:t>
      </w:r>
      <w:r>
        <w:rPr>
          <w:rFonts w:hint="eastAsia" w:ascii="仿宋_GB2312" w:eastAsia="仿宋_GB2312"/>
          <w:sz w:val="28"/>
          <w:szCs w:val="28"/>
        </w:rPr>
        <w:t>美元</w:t>
      </w:r>
      <w:r>
        <w:rPr>
          <w:rFonts w:hint="eastAsia" w:eastAsia="仿宋_GB2312"/>
          <w:sz w:val="28"/>
          <w:szCs w:val="28"/>
        </w:rPr>
        <w:t>=</w:t>
      </w:r>
      <w:r>
        <w:rPr>
          <w:rFonts w:hint="eastAsia" w:ascii="仿宋_GB2312" w:eastAsia="仿宋_GB2312"/>
          <w:sz w:val="28"/>
          <w:szCs w:val="28"/>
        </w:rPr>
        <w:t>人民币</w:t>
      </w:r>
      <w:r>
        <w:rPr>
          <w:rFonts w:hint="eastAsia" w:eastAsia="仿宋_GB2312"/>
          <w:sz w:val="28"/>
          <w:szCs w:val="28"/>
        </w:rPr>
        <w:t>6.3757</w:t>
      </w:r>
      <w:r>
        <w:rPr>
          <w:rFonts w:hint="eastAsia" w:ascii="仿宋_GB2312" w:eastAsia="仿宋_GB2312"/>
          <w:sz w:val="28"/>
          <w:szCs w:val="28"/>
        </w:rPr>
        <w:t>元。</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eastAsia="仿宋_GB2312"/>
          <w:sz w:val="28"/>
          <w:szCs w:val="28"/>
        </w:rPr>
        <w:t xml:space="preserve"> </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1"/>
        <w:rPr>
          <w:rFonts w:eastAsia="仿宋_GB2312"/>
          <w:sz w:val="28"/>
          <w:szCs w:val="28"/>
        </w:rPr>
      </w:pPr>
      <w:r>
        <w:rPr>
          <w:rFonts w:hint="eastAsia" w:eastAsia="仿宋_GB2312"/>
          <w:sz w:val="28"/>
          <w:szCs w:val="28"/>
        </w:rPr>
        <w:t>4</w:t>
      </w:r>
      <w:r>
        <w:rPr>
          <w:rFonts w:eastAsia="仿宋_GB2312"/>
          <w:sz w:val="28"/>
          <w:szCs w:val="28"/>
        </w:rPr>
        <w:t xml:space="preserve">. </w:t>
      </w:r>
      <w:r>
        <w:rPr>
          <w:rFonts w:hint="eastAsia" w:ascii="仿宋_GB2312" w:eastAsia="仿宋_GB2312"/>
          <w:sz w:val="28"/>
          <w:szCs w:val="28"/>
        </w:rPr>
        <w:t>报表科目说明</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2"/>
        <w:rPr>
          <w:rFonts w:eastAsia="仿宋_GB2312"/>
          <w:sz w:val="28"/>
          <w:szCs w:val="28"/>
        </w:rPr>
      </w:pPr>
      <w:r>
        <w:rPr>
          <w:rFonts w:hint="eastAsia" w:eastAsia="仿宋_GB2312"/>
          <w:sz w:val="28"/>
          <w:szCs w:val="28"/>
        </w:rPr>
        <w:t>4.1</w:t>
      </w:r>
      <w:r>
        <w:rPr>
          <w:rFonts w:hint="eastAsia" w:ascii="仿宋_GB2312" w:eastAsia="仿宋_GB2312"/>
          <w:sz w:val="28"/>
          <w:szCs w:val="28"/>
        </w:rPr>
        <w:t>项目支出</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ascii="仿宋_GB2312" w:eastAsia="仿宋_GB2312"/>
          <w:sz w:val="28"/>
          <w:szCs w:val="28"/>
        </w:rPr>
        <w:t>经审计，截至</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日，项目累计支出人民币</w:t>
      </w:r>
      <w:r>
        <w:rPr>
          <w:rFonts w:hint="eastAsia" w:eastAsia="仿宋_GB2312"/>
          <w:sz w:val="28"/>
          <w:szCs w:val="28"/>
        </w:rPr>
        <w:t>142,548,051.38</w:t>
      </w:r>
      <w:r>
        <w:rPr>
          <w:rFonts w:hint="eastAsia" w:ascii="仿宋_GB2312" w:eastAsia="仿宋_GB2312"/>
          <w:sz w:val="28"/>
          <w:szCs w:val="28"/>
        </w:rPr>
        <w:t>元，占总投资计划的</w:t>
      </w:r>
      <w:r>
        <w:rPr>
          <w:rFonts w:hint="eastAsia" w:eastAsia="仿宋_GB2312"/>
          <w:sz w:val="28"/>
          <w:szCs w:val="28"/>
        </w:rPr>
        <w:t>5.59%</w:t>
      </w:r>
      <w:r>
        <w:rPr>
          <w:rFonts w:hint="eastAsia" w:ascii="仿宋_GB2312" w:eastAsia="仿宋_GB2312"/>
          <w:sz w:val="28"/>
          <w:szCs w:val="28"/>
        </w:rPr>
        <w:t>，其中生态系统和环境基础设施建设支出人民币</w:t>
      </w:r>
      <w:r>
        <w:rPr>
          <w:rFonts w:hint="eastAsia" w:eastAsia="仿宋_GB2312"/>
          <w:sz w:val="28"/>
          <w:szCs w:val="28"/>
        </w:rPr>
        <w:t>40,365,045.02</w:t>
      </w:r>
      <w:r>
        <w:rPr>
          <w:rFonts w:hint="eastAsia" w:ascii="仿宋_GB2312" w:eastAsia="仿宋_GB2312"/>
          <w:sz w:val="28"/>
          <w:szCs w:val="28"/>
        </w:rPr>
        <w:t>元、扩大经济部门的机会支出人民币</w:t>
      </w:r>
      <w:r>
        <w:rPr>
          <w:rFonts w:hint="eastAsia" w:eastAsia="仿宋_GB2312"/>
          <w:sz w:val="28"/>
          <w:szCs w:val="28"/>
        </w:rPr>
        <w:t>99,292,647.31</w:t>
      </w:r>
      <w:r>
        <w:rPr>
          <w:rFonts w:hint="eastAsia" w:ascii="仿宋_GB2312" w:eastAsia="仿宋_GB2312"/>
          <w:sz w:val="28"/>
          <w:szCs w:val="28"/>
        </w:rPr>
        <w:t>元、加强城市发展规划和管理能力支出人民币</w:t>
      </w:r>
      <w:r>
        <w:rPr>
          <w:rFonts w:hint="eastAsia" w:eastAsia="仿宋_GB2312"/>
          <w:sz w:val="28"/>
          <w:szCs w:val="28"/>
        </w:rPr>
        <w:t>427,371.50</w:t>
      </w:r>
      <w:r>
        <w:rPr>
          <w:rFonts w:hint="eastAsia" w:ascii="仿宋_GB2312" w:eastAsia="仿宋_GB2312"/>
          <w:sz w:val="28"/>
          <w:szCs w:val="28"/>
        </w:rPr>
        <w:t>元、项目管理和能力建设支出人民币</w:t>
      </w:r>
      <w:r>
        <w:rPr>
          <w:rFonts w:hint="eastAsia" w:eastAsia="仿宋_GB2312"/>
          <w:sz w:val="28"/>
          <w:szCs w:val="28"/>
        </w:rPr>
        <w:t>2,462,987.55</w:t>
      </w:r>
      <w:r>
        <w:rPr>
          <w:rFonts w:hint="eastAsia" w:ascii="仿宋_GB2312" w:eastAsia="仿宋_GB2312"/>
          <w:sz w:val="28"/>
          <w:szCs w:val="28"/>
        </w:rPr>
        <w:t>元。</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2"/>
        <w:rPr>
          <w:rFonts w:eastAsia="仿宋_GB2312"/>
          <w:sz w:val="28"/>
          <w:szCs w:val="28"/>
        </w:rPr>
      </w:pPr>
      <w:r>
        <w:rPr>
          <w:rFonts w:hint="eastAsia" w:eastAsia="仿宋_GB2312"/>
          <w:sz w:val="28"/>
          <w:szCs w:val="28"/>
        </w:rPr>
        <w:t>4.2</w:t>
      </w:r>
      <w:r>
        <w:rPr>
          <w:rFonts w:hint="eastAsia" w:ascii="仿宋_GB2312" w:eastAsia="仿宋_GB2312"/>
          <w:sz w:val="28"/>
          <w:szCs w:val="28"/>
        </w:rPr>
        <w:t>货币资金</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ascii="仿宋_GB2312" w:eastAsia="仿宋_GB2312"/>
          <w:sz w:val="28"/>
          <w:szCs w:val="28"/>
        </w:rPr>
        <w:t>经审计，</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日，货币资金余额人民币</w:t>
      </w:r>
      <w:r>
        <w:rPr>
          <w:rFonts w:hint="eastAsia" w:eastAsia="仿宋_GB2312"/>
          <w:sz w:val="28"/>
          <w:szCs w:val="28"/>
        </w:rPr>
        <w:t>26,119,044.89</w:t>
      </w:r>
      <w:r>
        <w:rPr>
          <w:rFonts w:hint="eastAsia" w:ascii="仿宋_GB2312" w:eastAsia="仿宋_GB2312"/>
          <w:sz w:val="28"/>
          <w:szCs w:val="28"/>
        </w:rPr>
        <w:t>元，其中专用账户存款</w:t>
      </w:r>
      <w:r>
        <w:rPr>
          <w:rFonts w:hint="eastAsia" w:eastAsia="仿宋_GB2312"/>
          <w:sz w:val="28"/>
          <w:szCs w:val="28"/>
        </w:rPr>
        <w:t>13,004,515.55</w:t>
      </w:r>
      <w:r>
        <w:rPr>
          <w:rFonts w:hint="eastAsia" w:ascii="仿宋_GB2312" w:eastAsia="仿宋_GB2312"/>
          <w:sz w:val="28"/>
          <w:szCs w:val="28"/>
        </w:rPr>
        <w:t>元。</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2"/>
        <w:rPr>
          <w:rFonts w:eastAsia="仿宋_GB2312"/>
          <w:sz w:val="28"/>
          <w:szCs w:val="28"/>
        </w:rPr>
      </w:pPr>
      <w:r>
        <w:rPr>
          <w:rFonts w:hint="eastAsia" w:eastAsia="仿宋_GB2312"/>
          <w:sz w:val="28"/>
          <w:szCs w:val="28"/>
        </w:rPr>
        <w:t>4.3</w:t>
      </w:r>
      <w:r>
        <w:rPr>
          <w:rFonts w:hint="eastAsia" w:ascii="仿宋_GB2312" w:eastAsia="仿宋_GB2312"/>
          <w:sz w:val="28"/>
          <w:szCs w:val="28"/>
        </w:rPr>
        <w:t>项目拨款</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ascii="仿宋_GB2312" w:eastAsia="仿宋_GB2312"/>
          <w:sz w:val="28"/>
          <w:szCs w:val="28"/>
        </w:rPr>
        <w:t>经审计，截至</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日，项目累计拨款人民币</w:t>
      </w:r>
      <w:r>
        <w:rPr>
          <w:rFonts w:hint="eastAsia" w:eastAsia="仿宋_GB2312"/>
          <w:sz w:val="28"/>
          <w:szCs w:val="28"/>
        </w:rPr>
        <w:t>120,546,831.98</w:t>
      </w:r>
      <w:r>
        <w:rPr>
          <w:rFonts w:hint="eastAsia" w:ascii="仿宋_GB2312" w:eastAsia="仿宋_GB2312"/>
          <w:sz w:val="28"/>
          <w:szCs w:val="28"/>
        </w:rPr>
        <w:t>元，占地方财政拨款总计划额的</w:t>
      </w:r>
      <w:r>
        <w:rPr>
          <w:rFonts w:hint="eastAsia" w:eastAsia="仿宋_GB2312"/>
          <w:sz w:val="28"/>
          <w:szCs w:val="28"/>
        </w:rPr>
        <w:t>9.57%</w:t>
      </w:r>
      <w:r>
        <w:rPr>
          <w:rFonts w:hint="eastAsia" w:ascii="仿宋_GB2312" w:eastAsia="仿宋_GB2312"/>
          <w:sz w:val="28"/>
          <w:szCs w:val="28"/>
        </w:rPr>
        <w:t>。</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2"/>
        <w:rPr>
          <w:rFonts w:eastAsia="仿宋_GB2312"/>
          <w:sz w:val="28"/>
          <w:szCs w:val="28"/>
        </w:rPr>
      </w:pPr>
      <w:r>
        <w:rPr>
          <w:rFonts w:hint="eastAsia" w:eastAsia="仿宋_GB2312"/>
          <w:sz w:val="28"/>
          <w:szCs w:val="28"/>
        </w:rPr>
        <w:t>4.4</w:t>
      </w:r>
      <w:r>
        <w:rPr>
          <w:rFonts w:hint="eastAsia" w:ascii="仿宋_GB2312" w:eastAsia="仿宋_GB2312"/>
          <w:sz w:val="28"/>
          <w:szCs w:val="28"/>
        </w:rPr>
        <w:t>项目借款</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ascii="仿宋_GB2312" w:eastAsia="仿宋_GB2312"/>
          <w:sz w:val="28"/>
          <w:szCs w:val="28"/>
        </w:rPr>
        <w:t>经审计，截至</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日，项目累计借款余额人民币</w:t>
      </w:r>
      <w:r>
        <w:rPr>
          <w:rFonts w:hint="eastAsia" w:eastAsia="仿宋_GB2312"/>
          <w:sz w:val="28"/>
          <w:szCs w:val="28"/>
        </w:rPr>
        <w:t>41,970,266.30</w:t>
      </w:r>
      <w:r>
        <w:rPr>
          <w:rFonts w:hint="eastAsia" w:ascii="仿宋_GB2312" w:eastAsia="仿宋_GB2312"/>
          <w:sz w:val="28"/>
          <w:szCs w:val="28"/>
        </w:rPr>
        <w:t>元，占亚洲开发银行贷款总计划额的</w:t>
      </w:r>
      <w:r>
        <w:rPr>
          <w:rFonts w:hint="eastAsia" w:eastAsia="仿宋_GB2312"/>
          <w:sz w:val="28"/>
          <w:szCs w:val="28"/>
        </w:rPr>
        <w:t>3.25%</w:t>
      </w:r>
      <w:r>
        <w:rPr>
          <w:rFonts w:hint="eastAsia" w:ascii="仿宋_GB2312" w:eastAsia="仿宋_GB2312"/>
          <w:sz w:val="28"/>
          <w:szCs w:val="28"/>
        </w:rPr>
        <w:t>。</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2"/>
        <w:rPr>
          <w:rFonts w:eastAsia="仿宋_GB2312"/>
          <w:sz w:val="28"/>
          <w:szCs w:val="28"/>
        </w:rPr>
      </w:pPr>
      <w:r>
        <w:rPr>
          <w:rFonts w:hint="eastAsia" w:eastAsia="仿宋_GB2312"/>
          <w:sz w:val="28"/>
          <w:szCs w:val="28"/>
        </w:rPr>
        <w:t>4.6</w:t>
      </w:r>
      <w:r>
        <w:rPr>
          <w:rFonts w:hint="eastAsia" w:ascii="仿宋_GB2312" w:eastAsia="仿宋_GB2312"/>
          <w:sz w:val="28"/>
          <w:szCs w:val="28"/>
        </w:rPr>
        <w:t>应付款</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ascii="仿宋_GB2312" w:eastAsia="仿宋_GB2312"/>
          <w:sz w:val="28"/>
          <w:szCs w:val="28"/>
        </w:rPr>
        <w:t>经审计，</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日，应付款余额人民币</w:t>
      </w:r>
      <w:r>
        <w:rPr>
          <w:rFonts w:hint="eastAsia" w:eastAsia="仿宋_GB2312"/>
          <w:sz w:val="28"/>
          <w:szCs w:val="28"/>
        </w:rPr>
        <w:t>11,036,832.33</w:t>
      </w:r>
      <w:r>
        <w:rPr>
          <w:rFonts w:hint="eastAsia" w:ascii="仿宋_GB2312" w:eastAsia="仿宋_GB2312"/>
          <w:sz w:val="28"/>
          <w:szCs w:val="28"/>
        </w:rPr>
        <w:t>元。</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2"/>
        <w:rPr>
          <w:rFonts w:eastAsia="仿宋_GB2312"/>
          <w:sz w:val="28"/>
          <w:szCs w:val="28"/>
        </w:rPr>
      </w:pPr>
      <w:r>
        <w:rPr>
          <w:rFonts w:hint="eastAsia" w:eastAsia="仿宋_GB2312"/>
          <w:sz w:val="28"/>
          <w:szCs w:val="28"/>
        </w:rPr>
        <w:t>4.7</w:t>
      </w:r>
      <w:r>
        <w:rPr>
          <w:rFonts w:hint="eastAsia" w:ascii="仿宋_GB2312" w:eastAsia="仿宋_GB2312"/>
          <w:sz w:val="28"/>
          <w:szCs w:val="28"/>
        </w:rPr>
        <w:t>留成收入</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ascii="仿宋_GB2312" w:eastAsia="仿宋_GB2312"/>
          <w:sz w:val="28"/>
          <w:szCs w:val="28"/>
        </w:rPr>
        <w:t>经审计，</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日，留成收入人民币</w:t>
      </w:r>
      <w:r>
        <w:rPr>
          <w:rFonts w:hint="eastAsia" w:eastAsia="仿宋_GB2312"/>
          <w:sz w:val="28"/>
          <w:szCs w:val="28"/>
        </w:rPr>
        <w:t>3,367.90</w:t>
      </w:r>
      <w:r>
        <w:rPr>
          <w:rFonts w:hint="eastAsia" w:ascii="仿宋_GB2312" w:eastAsia="仿宋_GB2312"/>
          <w:sz w:val="28"/>
          <w:szCs w:val="28"/>
        </w:rPr>
        <w:t>元，为专用账户利息收入与服务费支出的差额。</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eastAsia="仿宋_GB2312"/>
          <w:sz w:val="28"/>
          <w:szCs w:val="28"/>
        </w:rPr>
        <w:t xml:space="preserve"> </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outlineLvl w:val="1"/>
        <w:rPr>
          <w:rFonts w:eastAsia="仿宋_GB2312"/>
          <w:sz w:val="28"/>
          <w:szCs w:val="28"/>
        </w:rPr>
      </w:pPr>
      <w:r>
        <w:rPr>
          <w:rFonts w:hint="eastAsia" w:eastAsia="仿宋_GB2312"/>
          <w:sz w:val="28"/>
          <w:szCs w:val="28"/>
        </w:rPr>
        <w:t>5</w:t>
      </w:r>
      <w:r>
        <w:rPr>
          <w:rFonts w:eastAsia="仿宋_GB2312"/>
          <w:sz w:val="28"/>
          <w:szCs w:val="28"/>
        </w:rPr>
        <w:t xml:space="preserve">. </w:t>
      </w:r>
      <w:r>
        <w:rPr>
          <w:rFonts w:hint="eastAsia" w:ascii="仿宋_GB2312" w:eastAsia="仿宋_GB2312"/>
          <w:sz w:val="28"/>
          <w:szCs w:val="28"/>
        </w:rPr>
        <w:t>专用账户使用情况</w:t>
      </w:r>
    </w:p>
    <w:p>
      <w:pPr>
        <w:pStyle w:val="30"/>
        <w:keepNext w:val="0"/>
        <w:keepLines w:val="0"/>
        <w:pageBreakBefore w:val="0"/>
        <w:widowControl w:val="0"/>
        <w:kinsoku/>
        <w:wordWrap/>
        <w:overflowPunct/>
        <w:topLinePunct w:val="0"/>
        <w:autoSpaceDE/>
        <w:autoSpaceDN/>
        <w:bidi w:val="0"/>
        <w:adjustRightInd/>
        <w:snapToGrid/>
        <w:spacing w:line="380" w:lineRule="exact"/>
        <w:ind w:firstLine="560" w:firstLineChars="200"/>
        <w:textAlignment w:val="auto"/>
        <w:rPr>
          <w:rFonts w:eastAsia="仿宋_GB2312"/>
          <w:sz w:val="28"/>
          <w:szCs w:val="28"/>
        </w:rPr>
      </w:pPr>
      <w:r>
        <w:rPr>
          <w:rFonts w:hint="eastAsia" w:ascii="仿宋_GB2312" w:eastAsia="仿宋_GB2312"/>
          <w:sz w:val="28"/>
          <w:szCs w:val="28"/>
        </w:rPr>
        <w:t>本项目贷款专用账户完成亚行首笔提款</w:t>
      </w:r>
      <w:r>
        <w:rPr>
          <w:rFonts w:hint="eastAsia" w:eastAsia="仿宋_GB2312"/>
          <w:sz w:val="28"/>
          <w:szCs w:val="28"/>
        </w:rPr>
        <w:t>5,000,000.00</w:t>
      </w:r>
      <w:r>
        <w:rPr>
          <w:rFonts w:hint="eastAsia" w:ascii="仿宋_GB2312" w:eastAsia="仿宋_GB2312"/>
          <w:sz w:val="28"/>
          <w:szCs w:val="28"/>
        </w:rPr>
        <w:t>美元，本期向亚行申请完成回补金额</w:t>
      </w:r>
      <w:r>
        <w:rPr>
          <w:rFonts w:hint="eastAsia" w:eastAsia="仿宋_GB2312"/>
          <w:sz w:val="28"/>
          <w:szCs w:val="28"/>
        </w:rPr>
        <w:t>15,828,48.36</w:t>
      </w:r>
      <w:r>
        <w:rPr>
          <w:rFonts w:hint="eastAsia" w:ascii="仿宋_GB2312" w:eastAsia="仿宋_GB2312"/>
          <w:sz w:val="28"/>
          <w:szCs w:val="28"/>
        </w:rPr>
        <w:t>美元，累计支付</w:t>
      </w:r>
      <w:r>
        <w:rPr>
          <w:rFonts w:hint="eastAsia" w:eastAsia="仿宋_GB2312"/>
          <w:sz w:val="28"/>
          <w:szCs w:val="28"/>
        </w:rPr>
        <w:t>4,543,676.56</w:t>
      </w:r>
      <w:r>
        <w:rPr>
          <w:rFonts w:hint="eastAsia" w:ascii="仿宋_GB2312" w:eastAsia="仿宋_GB2312"/>
          <w:sz w:val="28"/>
          <w:szCs w:val="28"/>
        </w:rPr>
        <w:t>美元，亚行回补服务费支出</w:t>
      </w:r>
      <w:r>
        <w:rPr>
          <w:rFonts w:hint="eastAsia" w:eastAsia="仿宋_GB2312"/>
          <w:sz w:val="28"/>
          <w:szCs w:val="28"/>
        </w:rPr>
        <w:t>20</w:t>
      </w:r>
      <w:r>
        <w:rPr>
          <w:rFonts w:hint="eastAsia" w:ascii="仿宋_GB2312" w:eastAsia="仿宋_GB2312"/>
          <w:sz w:val="28"/>
          <w:szCs w:val="28"/>
        </w:rPr>
        <w:t>美元，累计利息收入</w:t>
      </w:r>
      <w:r>
        <w:rPr>
          <w:rFonts w:hint="eastAsia" w:eastAsia="仿宋_GB2312"/>
          <w:sz w:val="28"/>
          <w:szCs w:val="28"/>
        </w:rPr>
        <w:t>548.24</w:t>
      </w:r>
      <w:r>
        <w:rPr>
          <w:rFonts w:hint="eastAsia" w:ascii="仿宋_GB2312" w:eastAsia="仿宋_GB2312"/>
          <w:sz w:val="28"/>
          <w:szCs w:val="28"/>
        </w:rPr>
        <w:t>美元，专用账户</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日余额为</w:t>
      </w:r>
      <w:r>
        <w:rPr>
          <w:rFonts w:hint="eastAsia" w:eastAsia="仿宋_GB2312"/>
          <w:sz w:val="28"/>
          <w:szCs w:val="28"/>
        </w:rPr>
        <w:t>2,039,700.04</w:t>
      </w:r>
      <w:r>
        <w:rPr>
          <w:rFonts w:hint="eastAsia" w:ascii="仿宋_GB2312" w:eastAsia="仿宋_GB2312"/>
          <w:sz w:val="28"/>
          <w:szCs w:val="28"/>
        </w:rPr>
        <w:t>美元（按汇率</w:t>
      </w:r>
      <w:r>
        <w:rPr>
          <w:rFonts w:hint="eastAsia" w:eastAsia="仿宋_GB2312"/>
          <w:sz w:val="28"/>
          <w:szCs w:val="28"/>
        </w:rPr>
        <w:t>1:6.3757</w:t>
      </w:r>
      <w:r>
        <w:rPr>
          <w:rFonts w:hint="eastAsia" w:ascii="仿宋_GB2312" w:eastAsia="仿宋_GB2312"/>
          <w:sz w:val="28"/>
          <w:szCs w:val="28"/>
        </w:rPr>
        <w:t>折合人民币</w:t>
      </w:r>
      <w:r>
        <w:rPr>
          <w:rFonts w:hint="eastAsia" w:eastAsia="仿宋_GB2312"/>
          <w:sz w:val="28"/>
          <w:szCs w:val="28"/>
        </w:rPr>
        <w:t>13,004,515.55</w:t>
      </w:r>
      <w:r>
        <w:rPr>
          <w:rFonts w:hint="eastAsia" w:ascii="仿宋_GB2312" w:eastAsia="仿宋_GB2312"/>
          <w:sz w:val="28"/>
          <w:szCs w:val="28"/>
        </w:rPr>
        <w:t>元）。</w:t>
      </w:r>
    </w:p>
    <w:p>
      <w:pPr>
        <w:keepLines w:val="0"/>
        <w:pageBreakBefore w:val="0"/>
        <w:widowControl/>
        <w:kinsoku/>
        <w:wordWrap/>
        <w:overflowPunct/>
        <w:topLinePunct w:val="0"/>
        <w:bidi w:val="0"/>
        <w:spacing w:line="240" w:lineRule="auto"/>
        <w:jc w:val="left"/>
        <w:textAlignment w:val="auto"/>
        <w:rPr>
          <w:rFonts w:eastAsia="仿宋_GB2312"/>
          <w:b/>
          <w:bCs/>
          <w:sz w:val="28"/>
          <w:szCs w:val="30"/>
        </w:rPr>
      </w:pPr>
      <w:r>
        <w:br w:type="page"/>
      </w:r>
    </w:p>
    <w:p>
      <w:pPr>
        <w:pStyle w:val="35"/>
        <w:spacing w:line="400" w:lineRule="exact"/>
        <w:jc w:val="left"/>
        <w:rPr>
          <w:rFonts w:ascii="Times New Roman"/>
          <w:kern w:val="2"/>
        </w:rPr>
      </w:pPr>
      <w:bookmarkStart w:id="18" w:name="_Toc106960406"/>
      <w:r>
        <w:rPr>
          <w:rFonts w:ascii="Times New Roman"/>
          <w:kern w:val="2"/>
        </w:rPr>
        <w:t>三、审计发现的问题及建议</w:t>
      </w:r>
      <w:bookmarkEnd w:id="18"/>
    </w:p>
    <w:p>
      <w:pPr>
        <w:pStyle w:val="2"/>
      </w:pPr>
    </w:p>
    <w:p>
      <w:pPr>
        <w:pStyle w:val="46"/>
        <w:autoSpaceDE w:val="0"/>
        <w:autoSpaceDN w:val="0"/>
        <w:adjustRightInd w:val="0"/>
        <w:snapToGrid w:val="0"/>
        <w:spacing w:line="400" w:lineRule="exact"/>
        <w:jc w:val="center"/>
        <w:rPr>
          <w:rFonts w:eastAsia="仿宋_GB2312"/>
          <w:b/>
          <w:color w:val="000000"/>
          <w:sz w:val="28"/>
          <w:szCs w:val="28"/>
        </w:rPr>
      </w:pPr>
      <w:r>
        <w:rPr>
          <w:rFonts w:eastAsia="仿宋_GB2312"/>
          <w:b/>
          <w:color w:val="000000"/>
          <w:sz w:val="28"/>
          <w:szCs w:val="28"/>
        </w:rPr>
        <w:t xml:space="preserve"> </w:t>
      </w:r>
    </w:p>
    <w:p>
      <w:pPr>
        <w:pStyle w:val="24"/>
        <w:rPr>
          <w:color w:val="000000"/>
        </w:rPr>
      </w:pPr>
      <w:r>
        <w:rPr>
          <w:rFonts w:ascii="仿宋_GB2312"/>
          <w:color w:val="000000"/>
        </w:rPr>
        <w:t>审计发现的问题及建议</w:t>
      </w:r>
    </w:p>
    <w:p>
      <w:pPr>
        <w:pStyle w:val="39"/>
        <w:spacing w:line="400" w:lineRule="exact"/>
        <w:rPr>
          <w:rFonts w:eastAsia="仿宋_GB2312"/>
          <w:color w:val="000000"/>
          <w:sz w:val="28"/>
          <w:szCs w:val="28"/>
        </w:rPr>
      </w:pPr>
      <w:r>
        <w:rPr>
          <w:rFonts w:eastAsia="仿宋_GB2312"/>
          <w:color w:val="000000"/>
          <w:sz w:val="28"/>
          <w:szCs w:val="28"/>
        </w:rPr>
        <w:t xml:space="preserve"> </w:t>
      </w:r>
    </w:p>
    <w:p>
      <w:pPr>
        <w:pStyle w:val="39"/>
        <w:keepNext w:val="0"/>
        <w:keepLines w:val="0"/>
        <w:pageBreakBefore w:val="0"/>
        <w:widowControl w:val="0"/>
        <w:kinsoku/>
        <w:wordWrap/>
        <w:overflowPunct/>
        <w:topLinePunct w:val="0"/>
        <w:autoSpaceDE/>
        <w:autoSpaceDN/>
        <w:bidi w:val="0"/>
        <w:spacing w:line="400" w:lineRule="exact"/>
        <w:ind w:firstLine="560" w:firstLineChars="200"/>
        <w:textAlignment w:val="auto"/>
        <w:rPr>
          <w:rFonts w:eastAsia="仿宋_GB2312"/>
          <w:sz w:val="28"/>
          <w:szCs w:val="28"/>
        </w:rPr>
      </w:pPr>
      <w:r>
        <w:rPr>
          <w:rFonts w:ascii="仿宋_GB2312" w:eastAsia="仿宋_GB2312"/>
          <w:color w:val="000000"/>
          <w:sz w:val="28"/>
          <w:szCs w:val="28"/>
        </w:rPr>
        <w:t>除对财务报表进行审计并发表审计意见外，审计中我们还关注了项目执行过程中相关单位</w:t>
      </w:r>
      <w:r>
        <w:rPr>
          <w:rFonts w:hint="eastAsia" w:ascii="仿宋_GB2312" w:eastAsia="仿宋_GB2312"/>
          <w:color w:val="000000"/>
          <w:sz w:val="28"/>
          <w:szCs w:val="28"/>
        </w:rPr>
        <w:t>遵守</w:t>
      </w:r>
      <w:r>
        <w:rPr>
          <w:rFonts w:ascii="仿宋_GB2312" w:eastAsia="仿宋_GB2312"/>
          <w:color w:val="000000"/>
          <w:sz w:val="28"/>
          <w:szCs w:val="28"/>
        </w:rPr>
        <w:t>国家法规和项目贷款协定情况、内</w:t>
      </w:r>
      <w:r>
        <w:rPr>
          <w:rFonts w:ascii="仿宋_GB2312" w:eastAsia="仿宋_GB2312"/>
          <w:sz w:val="28"/>
          <w:szCs w:val="28"/>
        </w:rPr>
        <w:t>部控制和项目管理情况、项目绩效情况。我们发现存在如下问题：</w:t>
      </w:r>
    </w:p>
    <w:p>
      <w:pPr>
        <w:pStyle w:val="40"/>
        <w:keepNext w:val="0"/>
        <w:keepLines w:val="0"/>
        <w:pageBreakBefore w:val="0"/>
        <w:widowControl w:val="0"/>
        <w:kinsoku/>
        <w:wordWrap/>
        <w:overflowPunct/>
        <w:topLinePunct w:val="0"/>
        <w:autoSpaceDE/>
        <w:autoSpaceDN/>
        <w:bidi w:val="0"/>
        <w:spacing w:line="400" w:lineRule="exact"/>
        <w:ind w:firstLine="562" w:firstLineChars="200"/>
        <w:textAlignment w:val="auto"/>
        <w:outlineLvl w:val="1"/>
        <w:rPr>
          <w:kern w:val="2"/>
          <w:sz w:val="28"/>
          <w:szCs w:val="28"/>
        </w:rPr>
      </w:pPr>
      <w:r>
        <w:rPr>
          <w:kern w:val="2"/>
          <w:sz w:val="28"/>
          <w:szCs w:val="28"/>
        </w:rPr>
        <w:t xml:space="preserve"> </w:t>
      </w:r>
    </w:p>
    <w:p>
      <w:pPr>
        <w:pStyle w:val="43"/>
        <w:keepNext w:val="0"/>
        <w:keepLines w:val="0"/>
        <w:pageBreakBefore w:val="0"/>
        <w:widowControl w:val="0"/>
        <w:kinsoku/>
        <w:wordWrap/>
        <w:overflowPunct/>
        <w:topLinePunct w:val="0"/>
        <w:autoSpaceDE/>
        <w:autoSpaceDN/>
        <w:bidi w:val="0"/>
        <w:spacing w:line="400" w:lineRule="exact"/>
        <w:ind w:firstLine="562" w:firstLineChars="200"/>
        <w:textAlignment w:val="auto"/>
        <w:outlineLvl w:val="1"/>
        <w:rPr>
          <w:rFonts w:hint="eastAsia" w:ascii="宋体" w:hAnsi="宋体" w:cs="仿宋_GB2312"/>
          <w:sz w:val="28"/>
          <w:szCs w:val="28"/>
        </w:rPr>
      </w:pPr>
      <w:r>
        <w:rPr>
          <w:rFonts w:hint="eastAsia" w:ascii="宋体" w:hAnsi="宋体" w:cs="仿宋_GB2312"/>
          <w:b/>
          <w:sz w:val="28"/>
          <w:szCs w:val="28"/>
        </w:rPr>
        <w:t>（一）违反国家法规或贷款</w:t>
      </w:r>
      <w:r>
        <w:rPr>
          <w:rFonts w:hint="eastAsia" w:ascii="宋体" w:hAnsi="宋体" w:cs="仿宋_GB2312"/>
          <w:b/>
          <w:sz w:val="28"/>
          <w:szCs w:val="28"/>
          <w:lang w:eastAsia="zh-CN"/>
        </w:rPr>
        <w:t>协定</w:t>
      </w:r>
      <w:r>
        <w:rPr>
          <w:rFonts w:hint="eastAsia" w:ascii="宋体" w:hAnsi="宋体" w:cs="仿宋_GB2312"/>
          <w:b/>
          <w:sz w:val="28"/>
          <w:szCs w:val="28"/>
        </w:rPr>
        <w:t>的问题</w:t>
      </w:r>
    </w:p>
    <w:p>
      <w:pPr>
        <w:keepNext w:val="0"/>
        <w:keepLines w:val="0"/>
        <w:pageBreakBefore w:val="0"/>
        <w:widowControl w:val="0"/>
        <w:kinsoku/>
        <w:wordWrap/>
        <w:overflowPunct/>
        <w:topLinePunct w:val="0"/>
        <w:autoSpaceDE/>
        <w:autoSpaceDN/>
        <w:bidi w:val="0"/>
        <w:spacing w:line="400" w:lineRule="exact"/>
        <w:ind w:firstLine="562"/>
        <w:textAlignment w:val="auto"/>
        <w:outlineLvl w:val="2"/>
        <w:rPr>
          <w:rFonts w:hint="eastAsia" w:eastAsia="仿宋_GB2312"/>
          <w:b/>
          <w:bCs/>
          <w:sz w:val="28"/>
          <w:szCs w:val="28"/>
        </w:rPr>
      </w:pPr>
      <w:r>
        <w:rPr>
          <w:rFonts w:hint="eastAsia" w:eastAsia="仿宋_GB2312"/>
          <w:b/>
          <w:bCs/>
          <w:sz w:val="28"/>
          <w:szCs w:val="28"/>
        </w:rPr>
        <w:t>1.</w:t>
      </w:r>
      <w:r>
        <w:rPr>
          <w:rFonts w:hint="eastAsia" w:ascii="仿宋_GB2312" w:eastAsia="仿宋_GB2312"/>
          <w:b/>
          <w:bCs/>
          <w:sz w:val="28"/>
          <w:szCs w:val="28"/>
        </w:rPr>
        <w:t>工程建设项目初步设计及概算未经批准进行施工招标，个别项目已开工建设，涉及人民币</w:t>
      </w:r>
      <w:r>
        <w:rPr>
          <w:rFonts w:hint="eastAsia" w:eastAsia="仿宋_GB2312"/>
          <w:b/>
          <w:bCs/>
          <w:sz w:val="28"/>
          <w:szCs w:val="28"/>
        </w:rPr>
        <w:t>25,471,517.23</w:t>
      </w:r>
      <w:r>
        <w:rPr>
          <w:rFonts w:hint="eastAsia" w:ascii="仿宋_GB2312" w:eastAsia="仿宋_GB2312"/>
          <w:b/>
          <w:bCs/>
          <w:sz w:val="28"/>
          <w:szCs w:val="28"/>
        </w:rPr>
        <w:t>元。</w:t>
      </w:r>
    </w:p>
    <w:p>
      <w:pPr>
        <w:pStyle w:val="4"/>
        <w:keepNext w:val="0"/>
        <w:keepLines w:val="0"/>
        <w:pageBreakBefore w:val="0"/>
        <w:widowControl w:val="0"/>
        <w:kinsoku/>
        <w:wordWrap/>
        <w:overflowPunct/>
        <w:topLinePunct w:val="0"/>
        <w:autoSpaceDE/>
        <w:autoSpaceDN/>
        <w:bidi w:val="0"/>
        <w:spacing w:line="400" w:lineRule="exact"/>
        <w:ind w:firstLine="560" w:firstLineChars="200"/>
        <w:textAlignment w:val="auto"/>
        <w:rPr>
          <w:rFonts w:eastAsia="仿宋_GB2312"/>
          <w:sz w:val="28"/>
          <w:szCs w:val="28"/>
        </w:rPr>
      </w:pPr>
      <w:r>
        <w:rPr>
          <w:rFonts w:hint="eastAsia" w:ascii="仿宋_GB2312" w:eastAsia="仿宋_GB2312"/>
          <w:sz w:val="28"/>
          <w:szCs w:val="28"/>
        </w:rPr>
        <w:t>截至</w:t>
      </w:r>
      <w:r>
        <w:rPr>
          <w:rFonts w:hint="eastAsia" w:eastAsia="仿宋_GB2312"/>
          <w:sz w:val="28"/>
          <w:szCs w:val="28"/>
        </w:rPr>
        <w:t>2022</w:t>
      </w:r>
      <w:r>
        <w:rPr>
          <w:rFonts w:hint="eastAsia" w:ascii="仿宋_GB2312" w:eastAsia="仿宋_GB2312"/>
          <w:sz w:val="28"/>
          <w:szCs w:val="28"/>
        </w:rPr>
        <w:t>年</w:t>
      </w:r>
      <w:r>
        <w:rPr>
          <w:rFonts w:hint="eastAsia" w:eastAsia="仿宋_GB2312"/>
          <w:sz w:val="28"/>
          <w:szCs w:val="28"/>
        </w:rPr>
        <w:t>3</w:t>
      </w:r>
      <w:r>
        <w:rPr>
          <w:rFonts w:hint="eastAsia" w:ascii="仿宋_GB2312" w:eastAsia="仿宋_GB2312"/>
          <w:sz w:val="28"/>
          <w:szCs w:val="28"/>
        </w:rPr>
        <w:t>月</w:t>
      </w:r>
      <w:r>
        <w:rPr>
          <w:rFonts w:hint="eastAsia" w:eastAsia="仿宋_GB2312"/>
          <w:sz w:val="28"/>
          <w:szCs w:val="28"/>
        </w:rPr>
        <w:t>23</w:t>
      </w:r>
      <w:r>
        <w:rPr>
          <w:rFonts w:hint="eastAsia" w:ascii="仿宋_GB2312" w:eastAsia="仿宋_GB2312"/>
          <w:sz w:val="28"/>
          <w:szCs w:val="28"/>
        </w:rPr>
        <w:t>日，项目实施机构资阳高新管委会在本项目未取得主管部门对初步设计及概算的批复情况下，于</w:t>
      </w:r>
      <w:r>
        <w:rPr>
          <w:rFonts w:hint="eastAsia" w:eastAsia="仿宋_GB2312"/>
          <w:sz w:val="28"/>
          <w:szCs w:val="28"/>
        </w:rPr>
        <w:t>2020</w:t>
      </w:r>
      <w:r>
        <w:rPr>
          <w:rFonts w:hint="eastAsia" w:ascii="仿宋_GB2312" w:eastAsia="仿宋_GB2312"/>
          <w:sz w:val="28"/>
          <w:szCs w:val="28"/>
        </w:rPr>
        <w:t>年</w:t>
      </w:r>
      <w:r>
        <w:rPr>
          <w:rFonts w:hint="eastAsia" w:eastAsia="仿宋_GB2312"/>
          <w:sz w:val="28"/>
          <w:szCs w:val="28"/>
        </w:rPr>
        <w:t>11</w:t>
      </w:r>
      <w:r>
        <w:rPr>
          <w:rFonts w:hint="eastAsia" w:ascii="仿宋_GB2312" w:eastAsia="仿宋_GB2312"/>
          <w:sz w:val="28"/>
          <w:szCs w:val="28"/>
        </w:rPr>
        <w:t>月至</w:t>
      </w:r>
      <w:r>
        <w:rPr>
          <w:rFonts w:hint="eastAsia" w:eastAsia="仿宋_GB2312"/>
          <w:sz w:val="28"/>
          <w:szCs w:val="28"/>
        </w:rPr>
        <w:t>2022</w:t>
      </w:r>
      <w:r>
        <w:rPr>
          <w:rFonts w:hint="eastAsia" w:ascii="仿宋_GB2312" w:eastAsia="仿宋_GB2312"/>
          <w:sz w:val="28"/>
          <w:szCs w:val="28"/>
        </w:rPr>
        <w:t>年</w:t>
      </w:r>
      <w:r>
        <w:rPr>
          <w:rFonts w:hint="eastAsia" w:eastAsia="仿宋_GB2312"/>
          <w:sz w:val="28"/>
          <w:szCs w:val="28"/>
        </w:rPr>
        <w:t>2</w:t>
      </w:r>
      <w:r>
        <w:rPr>
          <w:rFonts w:hint="eastAsia" w:ascii="仿宋_GB2312" w:eastAsia="仿宋_GB2312"/>
          <w:sz w:val="28"/>
          <w:szCs w:val="28"/>
        </w:rPr>
        <w:t>月提前开展了对资阳市高新区裸露山体生态修复、雁南湖水环境治理及湿地修复、城南滨江生态河堤和垃圾处理厂封场及生态恢复</w:t>
      </w:r>
      <w:r>
        <w:rPr>
          <w:rFonts w:hint="eastAsia" w:eastAsia="仿宋_GB2312"/>
          <w:sz w:val="28"/>
          <w:szCs w:val="28"/>
        </w:rPr>
        <w:t>4</w:t>
      </w:r>
      <w:r>
        <w:rPr>
          <w:rFonts w:hint="eastAsia" w:ascii="仿宋_GB2312" w:eastAsia="仿宋_GB2312"/>
          <w:sz w:val="28"/>
          <w:szCs w:val="28"/>
        </w:rPr>
        <w:t>个工程建设子项目的施工招标。其中，裸露山体生态修复、雁南湖水环境治理及湿地修复</w:t>
      </w:r>
      <w:r>
        <w:rPr>
          <w:rFonts w:hint="eastAsia" w:eastAsia="仿宋_GB2312"/>
          <w:sz w:val="28"/>
          <w:szCs w:val="28"/>
        </w:rPr>
        <w:t>2</w:t>
      </w:r>
      <w:r>
        <w:rPr>
          <w:rFonts w:hint="eastAsia" w:ascii="仿宋_GB2312" w:eastAsia="仿宋_GB2312"/>
          <w:sz w:val="28"/>
          <w:szCs w:val="28"/>
        </w:rPr>
        <w:t>个子项目已完成施工招标并于</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3</w:t>
      </w:r>
      <w:r>
        <w:rPr>
          <w:rFonts w:hint="eastAsia" w:ascii="仿宋_GB2312" w:eastAsia="仿宋_GB2312"/>
          <w:sz w:val="28"/>
          <w:szCs w:val="28"/>
        </w:rPr>
        <w:t>月开工建设，已使用贷款资金支付人民币</w:t>
      </w:r>
      <w:r>
        <w:rPr>
          <w:rFonts w:hint="eastAsia" w:eastAsia="仿宋_GB2312"/>
          <w:sz w:val="28"/>
          <w:szCs w:val="28"/>
        </w:rPr>
        <w:t>25,471,517.23</w:t>
      </w:r>
      <w:r>
        <w:rPr>
          <w:rFonts w:hint="eastAsia" w:ascii="仿宋_GB2312" w:eastAsia="仿宋_GB2312"/>
          <w:sz w:val="28"/>
          <w:szCs w:val="28"/>
        </w:rPr>
        <w:t>元。</w:t>
      </w:r>
    </w:p>
    <w:p>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eastAsia="仿宋_GB2312"/>
          <w:sz w:val="28"/>
          <w:szCs w:val="28"/>
        </w:rPr>
      </w:pPr>
      <w:r>
        <w:rPr>
          <w:rFonts w:hint="eastAsia" w:ascii="仿宋_GB2312" w:eastAsia="仿宋_GB2312"/>
          <w:sz w:val="28"/>
          <w:szCs w:val="28"/>
        </w:rPr>
        <w:t>以上行为不符合《工程建设项目施工招标投标办法》（</w:t>
      </w:r>
      <w:r>
        <w:rPr>
          <w:rFonts w:hint="eastAsia" w:eastAsia="仿宋_GB2312"/>
          <w:sz w:val="28"/>
          <w:szCs w:val="28"/>
        </w:rPr>
        <w:t>2003</w:t>
      </w:r>
      <w:r>
        <w:rPr>
          <w:rFonts w:hint="eastAsia" w:ascii="仿宋_GB2312" w:eastAsia="仿宋_GB2312"/>
          <w:sz w:val="28"/>
          <w:szCs w:val="28"/>
        </w:rPr>
        <w:t>年</w:t>
      </w:r>
      <w:r>
        <w:rPr>
          <w:rFonts w:ascii="仿宋_GB2312" w:eastAsia="仿宋_GB2312"/>
          <w:sz w:val="28"/>
          <w:szCs w:val="28"/>
        </w:rPr>
        <w:t>发展和改革委员会</w:t>
      </w:r>
      <w:r>
        <w:rPr>
          <w:rFonts w:hint="eastAsia" w:ascii="仿宋_GB2312" w:eastAsia="仿宋_GB2312"/>
          <w:sz w:val="28"/>
          <w:szCs w:val="28"/>
        </w:rPr>
        <w:t>第</w:t>
      </w:r>
      <w:r>
        <w:rPr>
          <w:rFonts w:hint="eastAsia" w:eastAsia="仿宋_GB2312"/>
          <w:sz w:val="28"/>
          <w:szCs w:val="28"/>
        </w:rPr>
        <w:t>30</w:t>
      </w:r>
      <w:r>
        <w:rPr>
          <w:rFonts w:hint="eastAsia" w:ascii="仿宋_GB2312" w:eastAsia="仿宋_GB2312"/>
          <w:sz w:val="28"/>
          <w:szCs w:val="28"/>
        </w:rPr>
        <w:t>号令）第八条“依法必须招标的工程建设项目，应当具备下列条件才能进行施工招标：（二）初步设计及概算应当履行审批手续的，已经批准”、</w:t>
      </w:r>
      <w:r>
        <w:rPr>
          <w:rFonts w:hint="eastAsia" w:ascii="仿宋_GB2312" w:eastAsia="仿宋_GB2312"/>
          <w:spacing w:val="2"/>
          <w:sz w:val="28"/>
          <w:szCs w:val="28"/>
        </w:rPr>
        <w:t>国务院办公厅《关于加强和规范新开工项目管理的通知》（国办发〔</w:t>
      </w:r>
      <w:r>
        <w:rPr>
          <w:rFonts w:hint="eastAsia" w:eastAsia="仿宋_GB2312"/>
          <w:sz w:val="28"/>
          <w:szCs w:val="28"/>
        </w:rPr>
        <w:t>2007</w:t>
      </w:r>
      <w:r>
        <w:rPr>
          <w:rFonts w:hint="eastAsia" w:ascii="仿宋_GB2312" w:eastAsia="仿宋_GB2312"/>
          <w:spacing w:val="2"/>
          <w:sz w:val="28"/>
          <w:szCs w:val="28"/>
        </w:rPr>
        <w:t>〕</w:t>
      </w:r>
      <w:r>
        <w:rPr>
          <w:rFonts w:hint="eastAsia" w:eastAsia="仿宋_GB2312"/>
          <w:sz w:val="28"/>
          <w:szCs w:val="28"/>
        </w:rPr>
        <w:t>64</w:t>
      </w:r>
      <w:r>
        <w:rPr>
          <w:rFonts w:hint="eastAsia" w:ascii="仿宋_GB2312" w:eastAsia="仿宋_GB2312"/>
          <w:spacing w:val="2"/>
          <w:sz w:val="28"/>
          <w:szCs w:val="28"/>
        </w:rPr>
        <w:t>号）“一、严格规范投资项目新开工条件各类投资项目开工建设必须符合下列条件：</w:t>
      </w:r>
      <w:r>
        <w:rPr>
          <w:rFonts w:hint="eastAsia" w:ascii="仿宋_GB2312" w:eastAsia="仿宋_GB2312"/>
          <w:kern w:val="0"/>
          <w:sz w:val="28"/>
          <w:szCs w:val="28"/>
        </w:rPr>
        <w:t>……</w:t>
      </w:r>
      <w:r>
        <w:rPr>
          <w:rFonts w:hint="eastAsia" w:ascii="仿宋_GB2312" w:eastAsia="仿宋_GB2312"/>
          <w:sz w:val="28"/>
          <w:szCs w:val="28"/>
        </w:rPr>
        <w:t>（二）已经完成审批、核准或备案手续。实行审批制的政府投资项目已经批准可行性研究报告，其中需审批初步设计及概算的项目已经批准初步设计及概算</w:t>
      </w:r>
      <w:r>
        <w:rPr>
          <w:rFonts w:hint="eastAsia" w:ascii="仿宋_GB2312" w:eastAsia="仿宋_GB2312"/>
          <w:kern w:val="0"/>
          <w:sz w:val="28"/>
          <w:szCs w:val="28"/>
        </w:rPr>
        <w:t>……”</w:t>
      </w:r>
      <w:r>
        <w:rPr>
          <w:rFonts w:hint="eastAsia" w:ascii="仿宋_GB2312" w:eastAsia="仿宋_GB2312"/>
          <w:sz w:val="28"/>
          <w:szCs w:val="28"/>
        </w:rPr>
        <w:t>和《四川省人民政府印发关于进一步加强政府投资项目管理规定的通知》（川府发〔</w:t>
      </w:r>
      <w:r>
        <w:rPr>
          <w:rFonts w:hint="eastAsia" w:eastAsia="仿宋_GB2312"/>
          <w:sz w:val="28"/>
          <w:szCs w:val="28"/>
        </w:rPr>
        <w:t>2014</w:t>
      </w:r>
      <w:r>
        <w:rPr>
          <w:rFonts w:hint="eastAsia" w:ascii="仿宋_GB2312" w:eastAsia="仿宋_GB2312"/>
          <w:sz w:val="28"/>
          <w:szCs w:val="28"/>
        </w:rPr>
        <w:t>〕）号“三、严格项目审批程序 政府投资项目实行审批制，按照基本建设程序，履行项目建议书、可行性研究报告、初步设计及概算</w:t>
      </w:r>
      <w:r>
        <w:rPr>
          <w:rFonts w:hint="eastAsia" w:ascii="宋体" w:hAnsi="宋体"/>
          <w:kern w:val="0"/>
          <w:sz w:val="24"/>
          <w:szCs w:val="24"/>
        </w:rPr>
        <w:t>……</w:t>
      </w:r>
      <w:r>
        <w:rPr>
          <w:rFonts w:hint="eastAsia" w:ascii="仿宋_GB2312" w:eastAsia="仿宋_GB2312"/>
          <w:sz w:val="28"/>
          <w:szCs w:val="28"/>
        </w:rPr>
        <w:t>等相关环节，不得随意进行简化、合并</w:t>
      </w:r>
      <w:r>
        <w:rPr>
          <w:rFonts w:hint="eastAsia" w:ascii="宋体" w:hAnsi="宋体"/>
          <w:kern w:val="0"/>
          <w:sz w:val="24"/>
          <w:szCs w:val="24"/>
        </w:rPr>
        <w:t>……</w:t>
      </w:r>
      <w:r>
        <w:rPr>
          <w:rFonts w:hint="eastAsia" w:ascii="仿宋_GB2312" w:eastAsia="仿宋_GB2312"/>
          <w:sz w:val="28"/>
          <w:szCs w:val="28"/>
        </w:rPr>
        <w:t>五、严格控制投资概算</w:t>
      </w:r>
      <w:r>
        <w:rPr>
          <w:rFonts w:hint="eastAsia" w:eastAsia="仿宋_GB2312"/>
          <w:sz w:val="28"/>
          <w:szCs w:val="28"/>
        </w:rPr>
        <w:t xml:space="preserve"> </w:t>
      </w:r>
      <w:r>
        <w:rPr>
          <w:rFonts w:hint="eastAsia" w:ascii="仿宋_GB2312" w:eastAsia="仿宋_GB2312"/>
          <w:sz w:val="28"/>
          <w:szCs w:val="28"/>
        </w:rPr>
        <w:t>政府投资项目要严格按照批准的投资概算进行建设</w:t>
      </w:r>
      <w:r>
        <w:rPr>
          <w:rFonts w:hint="eastAsia" w:ascii="宋体" w:hAnsi="宋体"/>
          <w:kern w:val="0"/>
          <w:sz w:val="24"/>
          <w:szCs w:val="24"/>
        </w:rPr>
        <w:t>……</w:t>
      </w:r>
      <w:r>
        <w:rPr>
          <w:rFonts w:hint="eastAsia" w:ascii="仿宋_GB2312" w:eastAsia="仿宋_GB2312"/>
          <w:sz w:val="28"/>
          <w:szCs w:val="28"/>
        </w:rPr>
        <w:t>经批准的投资概算是投资安排和资金下达的依据，是项目投资的最高限额”的规定。</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项目办</w:t>
      </w:r>
      <w:r>
        <w:rPr>
          <w:rFonts w:hint="eastAsia" w:ascii="仿宋_GB2312" w:eastAsia="仿宋_GB2312" w:cs="Times New Roman"/>
          <w:sz w:val="28"/>
          <w:szCs w:val="28"/>
        </w:rPr>
        <w:t>应督促</w:t>
      </w:r>
      <w:r>
        <w:rPr>
          <w:rFonts w:hint="eastAsia" w:ascii="仿宋_GB2312" w:hAnsi="Times New Roman" w:eastAsia="仿宋_GB2312" w:cs="Times New Roman"/>
          <w:sz w:val="28"/>
          <w:szCs w:val="28"/>
        </w:rPr>
        <w:t>资阳高新管委会</w:t>
      </w:r>
      <w:r>
        <w:rPr>
          <w:rFonts w:hint="eastAsia" w:ascii="仿宋_GB2312" w:hAnsi="Times New Roman" w:eastAsia="仿宋_GB2312"/>
          <w:sz w:val="28"/>
          <w:szCs w:val="28"/>
        </w:rPr>
        <w:t>认真履行</w:t>
      </w:r>
      <w:r>
        <w:rPr>
          <w:rFonts w:hint="eastAsia" w:ascii="仿宋_GB2312" w:hAnsi="Times New Roman" w:eastAsia="仿宋_GB2312" w:cs="Times New Roman"/>
          <w:sz w:val="28"/>
          <w:szCs w:val="28"/>
        </w:rPr>
        <w:t>项目管理责任，立即向项目主管部门报告相关情况；尽快取得初步设计及概算批复，严格按照项目建设管理程序推进本项目执行，并将批复后的概算作为项目投资预算控制。</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spacing w:line="400" w:lineRule="exact"/>
        <w:ind w:firstLine="562"/>
        <w:textAlignment w:val="auto"/>
        <w:outlineLvl w:val="2"/>
        <w:rPr>
          <w:rFonts w:eastAsia="仿宋_GB2312"/>
          <w:b/>
          <w:bCs/>
          <w:sz w:val="28"/>
          <w:szCs w:val="28"/>
        </w:rPr>
      </w:pPr>
      <w:r>
        <w:rPr>
          <w:rFonts w:hint="eastAsia" w:eastAsia="仿宋_GB2312"/>
          <w:b/>
          <w:bCs/>
          <w:sz w:val="28"/>
          <w:szCs w:val="28"/>
        </w:rPr>
        <w:t>2.</w:t>
      </w:r>
      <w:r>
        <w:rPr>
          <w:rFonts w:hint="eastAsia" w:ascii="仿宋_GB2312" w:eastAsia="仿宋_GB2312"/>
          <w:b/>
          <w:bCs/>
          <w:spacing w:val="-6"/>
          <w:sz w:val="28"/>
          <w:szCs w:val="28"/>
        </w:rPr>
        <w:t>项目办使用结算票据不合规涉及资金人民币</w:t>
      </w:r>
      <w:r>
        <w:rPr>
          <w:rFonts w:hint="eastAsia" w:eastAsia="仿宋_GB2312"/>
          <w:b/>
          <w:bCs/>
          <w:spacing w:val="-6"/>
          <w:sz w:val="28"/>
          <w:szCs w:val="28"/>
        </w:rPr>
        <w:t>2,080,643.40</w:t>
      </w:r>
      <w:r>
        <w:rPr>
          <w:rFonts w:hint="eastAsia" w:ascii="仿宋_GB2312" w:eastAsia="仿宋_GB2312"/>
          <w:b/>
          <w:bCs/>
          <w:spacing w:val="-6"/>
          <w:sz w:val="28"/>
          <w:szCs w:val="28"/>
        </w:rPr>
        <w:t>元。</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2021</w:t>
      </w:r>
      <w:r>
        <w:rPr>
          <w:rFonts w:hint="eastAsia" w:ascii="仿宋_GB2312" w:hAnsi="Times New Roman" w:eastAsia="仿宋_GB2312" w:cs="Times New Roman"/>
          <w:sz w:val="28"/>
          <w:szCs w:val="28"/>
        </w:rPr>
        <w:t>年度，项目办未收到正式税务发票即支付移民安置专家、环境专家等</w:t>
      </w:r>
      <w:r>
        <w:rPr>
          <w:rFonts w:hint="eastAsia" w:ascii="Times New Roman" w:hAnsi="Times New Roman" w:eastAsia="仿宋_GB2312" w:cs="Times New Roman"/>
          <w:sz w:val="28"/>
          <w:szCs w:val="28"/>
        </w:rPr>
        <w:t>6</w:t>
      </w:r>
      <w:r>
        <w:rPr>
          <w:rFonts w:hint="eastAsia" w:ascii="仿宋_GB2312" w:hAnsi="Times New Roman" w:eastAsia="仿宋_GB2312" w:cs="Times New Roman"/>
          <w:sz w:val="28"/>
          <w:szCs w:val="28"/>
        </w:rPr>
        <w:t>个专家及公司相关项目咨询服务费</w:t>
      </w:r>
      <w:r>
        <w:rPr>
          <w:rFonts w:hint="eastAsia" w:ascii="Times New Roman" w:hAnsi="Times New Roman" w:eastAsia="仿宋_GB2312" w:cs="Times New Roman"/>
          <w:sz w:val="28"/>
          <w:szCs w:val="28"/>
        </w:rPr>
        <w:t>2,080,643.40</w:t>
      </w:r>
      <w:r>
        <w:rPr>
          <w:rFonts w:hint="eastAsia" w:ascii="仿宋_GB2312" w:hAnsi="Times New Roman" w:eastAsia="仿宋_GB2312" w:cs="Times New Roman"/>
          <w:sz w:val="28"/>
          <w:szCs w:val="28"/>
        </w:rPr>
        <w:t>元，其中无票据支付移民安置专家高强咨询服务费</w:t>
      </w:r>
      <w:r>
        <w:rPr>
          <w:rFonts w:hint="eastAsia" w:ascii="Times New Roman" w:hAnsi="Times New Roman" w:eastAsia="仿宋_GB2312" w:cs="Times New Roman"/>
          <w:sz w:val="28"/>
          <w:szCs w:val="28"/>
        </w:rPr>
        <w:t>127,109.98</w:t>
      </w:r>
      <w:r>
        <w:rPr>
          <w:rFonts w:hint="eastAsia" w:ascii="仿宋_GB2312" w:hAnsi="Times New Roman" w:eastAsia="仿宋_GB2312" w:cs="Times New Roman"/>
          <w:sz w:val="28"/>
          <w:szCs w:val="28"/>
        </w:rPr>
        <w:t>元。</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ascii="仿宋_GB2312" w:hAnsi="Times New Roman" w:eastAsia="仿宋_GB2312" w:cs="Times New Roman"/>
          <w:sz w:val="28"/>
          <w:szCs w:val="28"/>
        </w:rPr>
        <w:t>以上行为不符合《中华人民共和国会计法》第十四条第三款</w:t>
      </w:r>
      <w:r>
        <w:rPr>
          <w:rFonts w:ascii="Times New Roman" w:hAnsi="Times New Roman" w:eastAsia="仿宋_GB2312" w:cs="Times New Roman"/>
          <w:sz w:val="28"/>
          <w:szCs w:val="28"/>
        </w:rPr>
        <w:t>“</w:t>
      </w:r>
      <w:r>
        <w:rPr>
          <w:rFonts w:ascii="仿宋_GB2312" w:hAnsi="Times New Roman" w:eastAsia="仿宋_GB2312" w:cs="Times New Roman"/>
          <w:sz w:val="28"/>
          <w:szCs w:val="28"/>
        </w:rPr>
        <w:t>会计机构、会计人员必须按照国家统一的会计制度的规定对原始凭证进行审核，对不真实、不合法的原始凭证有权不予接受</w:t>
      </w:r>
      <w:r>
        <w:rPr>
          <w:rFonts w:ascii="Times New Roman" w:hAnsi="Times New Roman" w:eastAsia="仿宋_GB2312" w:cs="Times New Roman"/>
          <w:sz w:val="28"/>
          <w:szCs w:val="28"/>
        </w:rPr>
        <w:t>……</w:t>
      </w:r>
      <w:r>
        <w:rPr>
          <w:rFonts w:ascii="仿宋_GB2312" w:hAnsi="Times New Roman" w:eastAsia="仿宋_GB2312" w:cs="Times New Roman"/>
          <w:sz w:val="28"/>
          <w:szCs w:val="28"/>
        </w:rPr>
        <w:t>对记载不准确、不完整的原始凭证予以退回，并要求按照国家统一的会计制度的规定更正、补充</w:t>
      </w:r>
      <w:r>
        <w:rPr>
          <w:rFonts w:ascii="Times New Roman" w:hAnsi="Times New Roman" w:eastAsia="仿宋_GB2312" w:cs="Times New Roman"/>
          <w:sz w:val="28"/>
          <w:szCs w:val="28"/>
        </w:rPr>
        <w:t>”</w:t>
      </w:r>
      <w:r>
        <w:rPr>
          <w:rFonts w:ascii="仿宋_GB2312" w:hAnsi="Times New Roman" w:eastAsia="仿宋_GB2312" w:cs="Times New Roman"/>
          <w:sz w:val="28"/>
          <w:szCs w:val="28"/>
        </w:rPr>
        <w:t>的规定。</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项目办</w:t>
      </w:r>
      <w:r>
        <w:rPr>
          <w:rFonts w:hint="eastAsia" w:ascii="仿宋_GB2312" w:eastAsia="仿宋_GB2312" w:cs="Times New Roman"/>
          <w:sz w:val="28"/>
          <w:szCs w:val="28"/>
        </w:rPr>
        <w:t>应对此进行整改</w:t>
      </w:r>
      <w:r>
        <w:rPr>
          <w:rFonts w:hint="eastAsia" w:ascii="仿宋_GB2312" w:hAnsi="Times New Roman" w:eastAsia="仿宋_GB2312" w:cs="Times New Roman"/>
          <w:sz w:val="28"/>
          <w:szCs w:val="28"/>
        </w:rPr>
        <w:t>，加强结算票据的审核，杜绝类似情况再次发生</w:t>
      </w:r>
      <w:r>
        <w:rPr>
          <w:rFonts w:ascii="仿宋_GB2312" w:hAnsi="Times New Roman" w:eastAsia="仿宋_GB2312" w:cs="Times New Roman"/>
          <w:sz w:val="28"/>
          <w:szCs w:val="28"/>
        </w:rPr>
        <w:t>。</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w:t>
      </w:r>
    </w:p>
    <w:p>
      <w:pPr>
        <w:pStyle w:val="43"/>
        <w:keepNext w:val="0"/>
        <w:keepLines w:val="0"/>
        <w:pageBreakBefore w:val="0"/>
        <w:kinsoku/>
        <w:wordWrap/>
        <w:overflowPunct/>
        <w:topLinePunct w:val="0"/>
        <w:autoSpaceDE/>
        <w:autoSpaceDN/>
        <w:bidi w:val="0"/>
        <w:spacing w:line="400" w:lineRule="exact"/>
        <w:ind w:firstLine="562" w:firstLineChars="200"/>
        <w:textAlignment w:val="auto"/>
        <w:outlineLvl w:val="2"/>
        <w:rPr>
          <w:rFonts w:eastAsia="仿宋_GB2312"/>
          <w:b/>
          <w:bCs/>
          <w:sz w:val="28"/>
          <w:szCs w:val="28"/>
        </w:rPr>
      </w:pPr>
      <w:r>
        <w:rPr>
          <w:rFonts w:hint="eastAsia" w:ascii="Times New Roman" w:hAnsi="Times New Roman" w:eastAsia="仿宋_GB2312" w:cs="Times New Roman"/>
          <w:b/>
          <w:bCs/>
          <w:sz w:val="28"/>
          <w:szCs w:val="28"/>
        </w:rPr>
        <w:t>3.</w:t>
      </w:r>
      <w:r>
        <w:rPr>
          <w:rFonts w:ascii="仿宋_GB2312" w:hAnsi="Times New Roman" w:eastAsia="仿宋_GB2312" w:cs="Times New Roman"/>
          <w:b/>
          <w:bCs/>
          <w:sz w:val="28"/>
          <w:szCs w:val="28"/>
        </w:rPr>
        <w:t>虚</w:t>
      </w:r>
      <w:r>
        <w:rPr>
          <w:rFonts w:hint="eastAsia" w:ascii="仿宋_GB2312" w:hAnsi="Times New Roman" w:eastAsia="仿宋_GB2312" w:cs="Times New Roman"/>
          <w:b/>
          <w:bCs/>
          <w:sz w:val="28"/>
          <w:szCs w:val="28"/>
        </w:rPr>
        <w:t>列投资额及</w:t>
      </w:r>
      <w:r>
        <w:rPr>
          <w:rFonts w:ascii="仿宋_GB2312" w:hAnsi="Times New Roman" w:eastAsia="仿宋_GB2312" w:cs="Times New Roman"/>
          <w:b/>
          <w:bCs/>
          <w:sz w:val="28"/>
          <w:szCs w:val="28"/>
        </w:rPr>
        <w:t>漏</w:t>
      </w:r>
      <w:r>
        <w:rPr>
          <w:rFonts w:hint="eastAsia" w:ascii="仿宋_GB2312" w:hAnsi="Times New Roman" w:eastAsia="仿宋_GB2312" w:cs="Times New Roman"/>
          <w:b/>
          <w:bCs/>
          <w:sz w:val="28"/>
          <w:szCs w:val="28"/>
        </w:rPr>
        <w:t>记贷款</w:t>
      </w:r>
      <w:r>
        <w:rPr>
          <w:rFonts w:ascii="仿宋_GB2312" w:hAnsi="Times New Roman" w:eastAsia="仿宋_GB2312" w:cs="Times New Roman"/>
          <w:b/>
          <w:bCs/>
          <w:sz w:val="28"/>
          <w:szCs w:val="28"/>
        </w:rPr>
        <w:t>债务</w:t>
      </w:r>
      <w:r>
        <w:rPr>
          <w:rFonts w:hint="eastAsia" w:ascii="仿宋_GB2312" w:eastAsia="仿宋_GB2312"/>
          <w:b/>
          <w:bCs/>
          <w:sz w:val="28"/>
          <w:szCs w:val="28"/>
        </w:rPr>
        <w:t>合计人民币</w:t>
      </w:r>
      <w:r>
        <w:rPr>
          <w:rFonts w:hint="eastAsia" w:ascii="Times New Roman" w:hAnsi="Times New Roman" w:eastAsia="仿宋_GB2312" w:cs="Times New Roman"/>
          <w:b/>
          <w:bCs/>
          <w:sz w:val="28"/>
          <w:szCs w:val="28"/>
        </w:rPr>
        <w:t>4,895,927.44</w:t>
      </w:r>
      <w:r>
        <w:rPr>
          <w:rFonts w:hint="eastAsia" w:ascii="仿宋_GB2312" w:eastAsia="仿宋_GB2312"/>
          <w:b/>
          <w:bCs/>
          <w:sz w:val="28"/>
          <w:szCs w:val="28"/>
        </w:rPr>
        <w:t>元。</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2021</w:t>
      </w:r>
      <w:r>
        <w:rPr>
          <w:rFonts w:hint="eastAsia" w:ascii="仿宋_GB2312" w:hAnsi="Times New Roman" w:eastAsia="仿宋_GB2312" w:cs="Times New Roman"/>
          <w:sz w:val="28"/>
          <w:szCs w:val="28"/>
        </w:rPr>
        <w:t>年度，项目办在会计核算中将</w:t>
      </w:r>
      <w:r>
        <w:rPr>
          <w:rFonts w:ascii="仿宋_GB2312" w:hAnsi="Times New Roman" w:eastAsia="仿宋_GB2312" w:cs="Times New Roman"/>
          <w:sz w:val="28"/>
          <w:szCs w:val="28"/>
        </w:rPr>
        <w:t>咨询、货物、土建工程等</w:t>
      </w:r>
      <w:r>
        <w:rPr>
          <w:rFonts w:hint="eastAsia" w:ascii="Times New Roman" w:hAnsi="Times New Roman" w:eastAsia="仿宋_GB2312" w:cs="Times New Roman"/>
          <w:sz w:val="28"/>
          <w:szCs w:val="28"/>
        </w:rPr>
        <w:t>6</w:t>
      </w:r>
      <w:r>
        <w:rPr>
          <w:rFonts w:hint="eastAsia" w:ascii="仿宋_GB2312" w:hAnsi="Times New Roman" w:eastAsia="仿宋_GB2312" w:cs="Times New Roman"/>
          <w:sz w:val="28"/>
          <w:szCs w:val="28"/>
        </w:rPr>
        <w:t>个</w:t>
      </w:r>
      <w:r>
        <w:rPr>
          <w:rFonts w:ascii="仿宋_GB2312" w:hAnsi="Times New Roman" w:eastAsia="仿宋_GB2312" w:cs="Times New Roman"/>
          <w:sz w:val="28"/>
          <w:szCs w:val="28"/>
        </w:rPr>
        <w:t>子项</w:t>
      </w:r>
      <w:r>
        <w:rPr>
          <w:rFonts w:hint="eastAsia" w:ascii="仿宋_GB2312" w:hAnsi="Times New Roman" w:eastAsia="仿宋_GB2312" w:cs="Times New Roman"/>
          <w:sz w:val="28"/>
          <w:szCs w:val="28"/>
        </w:rPr>
        <w:t>目</w:t>
      </w:r>
      <w:r>
        <w:rPr>
          <w:rFonts w:ascii="仿宋_GB2312" w:hAnsi="Times New Roman" w:eastAsia="仿宋_GB2312" w:cs="Times New Roman"/>
          <w:sz w:val="28"/>
          <w:szCs w:val="28"/>
        </w:rPr>
        <w:t>未形成产值的预付款项账列在建工程</w:t>
      </w:r>
      <w:r>
        <w:rPr>
          <w:rFonts w:hint="eastAsia" w:ascii="仿宋_GB2312" w:hAnsi="Times New Roman" w:eastAsia="仿宋_GB2312" w:cs="Times New Roman"/>
          <w:sz w:val="28"/>
          <w:szCs w:val="28"/>
        </w:rPr>
        <w:t>科目，共涉及人民币</w:t>
      </w:r>
      <w:r>
        <w:rPr>
          <w:rFonts w:ascii="Times New Roman" w:hAnsi="Times New Roman" w:eastAsia="仿宋_GB2312" w:cs="Times New Roman"/>
          <w:sz w:val="28"/>
          <w:szCs w:val="28"/>
        </w:rPr>
        <w:t>4,890,202.24</w:t>
      </w:r>
      <w:r>
        <w:rPr>
          <w:rFonts w:ascii="仿宋_GB2312" w:hAnsi="Times New Roman" w:eastAsia="仿宋_GB2312" w:cs="Times New Roman"/>
          <w:sz w:val="28"/>
          <w:szCs w:val="28"/>
        </w:rPr>
        <w:t>元</w:t>
      </w:r>
      <w:r>
        <w:rPr>
          <w:rFonts w:hint="eastAsia" w:ascii="仿宋_GB2312" w:hAnsi="Times New Roman" w:eastAsia="仿宋_GB2312" w:cs="Times New Roman"/>
          <w:sz w:val="28"/>
          <w:szCs w:val="28"/>
        </w:rPr>
        <w:t>，占在建工程</w:t>
      </w:r>
      <w:r>
        <w:rPr>
          <w:rFonts w:hint="eastAsia" w:ascii="Times New Roman" w:hAnsi="Times New Roman" w:eastAsia="仿宋_GB2312" w:cs="Times New Roman"/>
          <w:sz w:val="28"/>
          <w:szCs w:val="28"/>
        </w:rPr>
        <w:t>13.9%</w:t>
      </w:r>
      <w:r>
        <w:rPr>
          <w:rFonts w:ascii="仿宋_GB2312" w:hAnsi="Times New Roman" w:eastAsia="仿宋_GB2312" w:cs="Times New Roman"/>
          <w:sz w:val="28"/>
          <w:szCs w:val="28"/>
        </w:rPr>
        <w:t>；</w:t>
      </w:r>
      <w:r>
        <w:rPr>
          <w:rFonts w:hint="eastAsia" w:ascii="仿宋_GB2312" w:hAnsi="Times New Roman" w:eastAsia="仿宋_GB2312" w:cs="Times New Roman"/>
          <w:sz w:val="28"/>
          <w:szCs w:val="28"/>
        </w:rPr>
        <w:t>高新区</w:t>
      </w:r>
      <w:r>
        <w:rPr>
          <w:rFonts w:ascii="仿宋_GB2312" w:hAnsi="Times New Roman" w:eastAsia="仿宋_GB2312" w:cs="Times New Roman"/>
          <w:sz w:val="28"/>
          <w:szCs w:val="28"/>
        </w:rPr>
        <w:t>裸露山体</w:t>
      </w:r>
      <w:r>
        <w:rPr>
          <w:rFonts w:hint="eastAsia" w:ascii="仿宋_GB2312" w:hAnsi="Times New Roman" w:eastAsia="仿宋_GB2312" w:cs="Times New Roman"/>
          <w:sz w:val="28"/>
          <w:szCs w:val="28"/>
        </w:rPr>
        <w:t>生态</w:t>
      </w:r>
      <w:r>
        <w:rPr>
          <w:rFonts w:ascii="仿宋_GB2312" w:hAnsi="Times New Roman" w:eastAsia="仿宋_GB2312" w:cs="Times New Roman"/>
          <w:sz w:val="28"/>
          <w:szCs w:val="28"/>
        </w:rPr>
        <w:t>修复</w:t>
      </w:r>
      <w:r>
        <w:rPr>
          <w:rFonts w:hint="eastAsia" w:ascii="仿宋_GB2312" w:hAnsi="Times New Roman" w:eastAsia="仿宋_GB2312" w:cs="Times New Roman"/>
          <w:sz w:val="28"/>
          <w:szCs w:val="28"/>
        </w:rPr>
        <w:t>子</w:t>
      </w:r>
      <w:r>
        <w:rPr>
          <w:rFonts w:ascii="仿宋_GB2312" w:hAnsi="Times New Roman" w:eastAsia="仿宋_GB2312" w:cs="Times New Roman"/>
          <w:sz w:val="28"/>
          <w:szCs w:val="28"/>
        </w:rPr>
        <w:t>项目漏</w:t>
      </w:r>
      <w:r>
        <w:rPr>
          <w:rFonts w:hint="eastAsia" w:ascii="仿宋_GB2312" w:hAnsi="Times New Roman" w:eastAsia="仿宋_GB2312" w:cs="Times New Roman"/>
          <w:sz w:val="28"/>
          <w:szCs w:val="28"/>
        </w:rPr>
        <w:t>记贷款</w:t>
      </w:r>
      <w:r>
        <w:rPr>
          <w:rFonts w:ascii="仿宋_GB2312" w:hAnsi="Times New Roman" w:eastAsia="仿宋_GB2312" w:cs="Times New Roman"/>
          <w:sz w:val="28"/>
          <w:szCs w:val="28"/>
        </w:rPr>
        <w:t>债务人民币</w:t>
      </w:r>
      <w:r>
        <w:rPr>
          <w:rFonts w:ascii="Times New Roman" w:hAnsi="Times New Roman" w:eastAsia="仿宋_GB2312" w:cs="Times New Roman"/>
          <w:sz w:val="28"/>
          <w:szCs w:val="28"/>
        </w:rPr>
        <w:t>5,725.20</w:t>
      </w:r>
      <w:r>
        <w:rPr>
          <w:rFonts w:ascii="仿宋_GB2312" w:hAnsi="Times New Roman" w:eastAsia="仿宋_GB2312" w:cs="Times New Roman"/>
          <w:sz w:val="28"/>
          <w:szCs w:val="28"/>
        </w:rPr>
        <w:t>元，致使会计核算</w:t>
      </w:r>
      <w:r>
        <w:rPr>
          <w:rFonts w:hint="eastAsia" w:ascii="仿宋_GB2312" w:hAnsi="Times New Roman" w:eastAsia="仿宋_GB2312" w:cs="Times New Roman"/>
          <w:sz w:val="28"/>
          <w:szCs w:val="28"/>
        </w:rPr>
        <w:t>和</w:t>
      </w:r>
      <w:r>
        <w:rPr>
          <w:rFonts w:ascii="仿宋_GB2312" w:hAnsi="Times New Roman" w:eastAsia="仿宋_GB2312" w:cs="Times New Roman"/>
          <w:sz w:val="28"/>
          <w:szCs w:val="28"/>
        </w:rPr>
        <w:t>投资</w:t>
      </w:r>
      <w:r>
        <w:rPr>
          <w:rFonts w:hint="eastAsia" w:ascii="仿宋_GB2312" w:hAnsi="Times New Roman" w:eastAsia="仿宋_GB2312" w:cs="Times New Roman"/>
          <w:sz w:val="28"/>
          <w:szCs w:val="28"/>
        </w:rPr>
        <w:t>产出反映不实，</w:t>
      </w:r>
      <w:r>
        <w:rPr>
          <w:rFonts w:ascii="仿宋_GB2312" w:hAnsi="Times New Roman" w:eastAsia="仿宋_GB2312" w:cs="Times New Roman"/>
          <w:sz w:val="28"/>
          <w:szCs w:val="28"/>
        </w:rPr>
        <w:t>影响财务</w:t>
      </w:r>
      <w:r>
        <w:rPr>
          <w:rFonts w:hint="eastAsia" w:ascii="仿宋_GB2312" w:hAnsi="Times New Roman" w:eastAsia="仿宋_GB2312" w:cs="Times New Roman"/>
          <w:sz w:val="28"/>
          <w:szCs w:val="28"/>
        </w:rPr>
        <w:t>报表准确性。</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审计指出上述问题后，项目办已</w:t>
      </w:r>
      <w:r>
        <w:rPr>
          <w:rFonts w:ascii="仿宋_GB2312" w:eastAsia="仿宋_GB2312" w:cs="Times New Roman"/>
          <w:sz w:val="28"/>
          <w:szCs w:val="28"/>
        </w:rPr>
        <w:t>在审计过程中</w:t>
      </w:r>
      <w:r>
        <w:rPr>
          <w:rFonts w:hint="eastAsia" w:ascii="仿宋_GB2312" w:eastAsia="仿宋_GB2312" w:cs="Times New Roman"/>
          <w:sz w:val="28"/>
          <w:szCs w:val="28"/>
        </w:rPr>
        <w:t>对上述账表情况进行调整</w:t>
      </w:r>
      <w:r>
        <w:rPr>
          <w:rFonts w:ascii="仿宋_GB2312" w:eastAsia="仿宋_GB2312" w:cs="Times New Roman"/>
          <w:sz w:val="28"/>
          <w:szCs w:val="28"/>
        </w:rPr>
        <w:t>。</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ascii="仿宋_GB2312" w:hAnsi="Times New Roman" w:eastAsia="仿宋_GB2312" w:cs="Times New Roman"/>
          <w:sz w:val="28"/>
          <w:szCs w:val="28"/>
        </w:rPr>
        <w:t>以上行为不符合《国际金融组织和外国政府贷款赠款项目财务管理办法》（财国合〔</w:t>
      </w:r>
      <w:r>
        <w:rPr>
          <w:rFonts w:ascii="Times New Roman" w:hAnsi="Times New Roman" w:eastAsia="仿宋_GB2312" w:cs="Times New Roman"/>
          <w:sz w:val="28"/>
          <w:szCs w:val="28"/>
        </w:rPr>
        <w:t>2017</w:t>
      </w:r>
      <w:r>
        <w:rPr>
          <w:rFonts w:ascii="仿宋_GB2312" w:hAnsi="Times New Roman" w:eastAsia="仿宋_GB2312" w:cs="Times New Roman"/>
          <w:sz w:val="28"/>
          <w:szCs w:val="28"/>
        </w:rPr>
        <w:t>〕</w:t>
      </w:r>
      <w:r>
        <w:rPr>
          <w:rFonts w:ascii="Times New Roman" w:hAnsi="Times New Roman" w:eastAsia="仿宋_GB2312" w:cs="Times New Roman"/>
          <w:sz w:val="28"/>
          <w:szCs w:val="28"/>
        </w:rPr>
        <w:t>28</w:t>
      </w:r>
      <w:r>
        <w:rPr>
          <w:rFonts w:ascii="仿宋_GB2312" w:hAnsi="Times New Roman" w:eastAsia="仿宋_GB2312" w:cs="Times New Roman"/>
          <w:sz w:val="28"/>
          <w:szCs w:val="28"/>
        </w:rPr>
        <w:t>号）第十八条</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财政部门和项目实施单位应当及时核对、确认提款报账金额和币种、支付日期、支付类别、债务金额等基础财务信息，相互提供相关单据和文件以做好记录核算工作</w:t>
      </w:r>
      <w:r>
        <w:rPr>
          <w:rFonts w:hint="eastAsia" w:ascii="仿宋_GB2312" w:hAnsi="Times New Roman" w:eastAsia="仿宋_GB2312" w:cs="Times New Roman"/>
          <w:sz w:val="28"/>
          <w:szCs w:val="28"/>
        </w:rPr>
        <w:t>，</w:t>
      </w:r>
      <w:r>
        <w:rPr>
          <w:rFonts w:hint="eastAsia" w:ascii="仿宋_GB2312" w:hAnsi="仿宋_GB2312" w:eastAsia="仿宋_GB2312" w:cs="仿宋_GB2312"/>
          <w:color w:val="000000" w:themeColor="text1"/>
          <w:sz w:val="28"/>
          <w:szCs w:val="28"/>
          <w14:textFill>
            <w14:solidFill>
              <w14:schemeClr w14:val="tx1"/>
            </w14:solidFill>
          </w14:textFill>
        </w:rPr>
        <w:t>落实债权债务，</w:t>
      </w:r>
      <w:r>
        <w:rPr>
          <w:rFonts w:ascii="Times New Roman" w:hAnsi="Times New Roman" w:eastAsia="仿宋_GB2312" w:cs="Times New Roman"/>
          <w:sz w:val="28"/>
          <w:szCs w:val="28"/>
        </w:rPr>
        <w:t>……</w:t>
      </w:r>
      <w:r>
        <w:rPr>
          <w:rFonts w:hint="eastAsia" w:ascii="仿宋_GB2312" w:hAnsi="Times New Roman" w:eastAsia="仿宋_GB2312" w:cs="Times New Roman"/>
          <w:sz w:val="28"/>
          <w:szCs w:val="28"/>
        </w:rPr>
        <w:t>”和</w:t>
      </w:r>
      <w:r>
        <w:rPr>
          <w:rFonts w:ascii="仿宋_GB2312" w:hAnsi="Times New Roman" w:eastAsia="仿宋_GB2312" w:cs="Times New Roman"/>
          <w:sz w:val="28"/>
          <w:szCs w:val="28"/>
        </w:rPr>
        <w:t>《政府会计制度</w:t>
      </w:r>
      <w:r>
        <w:rPr>
          <w:rFonts w:ascii="Times New Roman" w:hAnsi="Times New Roman" w:eastAsia="仿宋_GB2312" w:cs="Times New Roman"/>
          <w:sz w:val="28"/>
          <w:szCs w:val="28"/>
        </w:rPr>
        <w:t>—</w:t>
      </w:r>
      <w:r>
        <w:rPr>
          <w:rFonts w:ascii="仿宋_GB2312" w:hAnsi="Times New Roman" w:eastAsia="仿宋_GB2312" w:cs="Times New Roman"/>
          <w:sz w:val="28"/>
          <w:szCs w:val="28"/>
        </w:rPr>
        <w:t>行政事业单位会计科目和报表》（财会〔</w:t>
      </w:r>
      <w:r>
        <w:rPr>
          <w:rFonts w:ascii="Times New Roman" w:hAnsi="Times New Roman" w:eastAsia="仿宋_GB2312" w:cs="Times New Roman"/>
          <w:sz w:val="28"/>
          <w:szCs w:val="28"/>
        </w:rPr>
        <w:t>2017</w:t>
      </w:r>
      <w:r>
        <w:rPr>
          <w:rFonts w:ascii="仿宋_GB2312" w:hAnsi="Times New Roman" w:eastAsia="仿宋_GB2312" w:cs="Times New Roman"/>
          <w:sz w:val="28"/>
          <w:szCs w:val="28"/>
        </w:rPr>
        <w:t>〕</w:t>
      </w:r>
      <w:r>
        <w:rPr>
          <w:rFonts w:ascii="Times New Roman" w:hAnsi="Times New Roman" w:eastAsia="仿宋_GB2312" w:cs="Times New Roman"/>
          <w:sz w:val="28"/>
          <w:szCs w:val="28"/>
        </w:rPr>
        <w:t>25</w:t>
      </w:r>
      <w:r>
        <w:rPr>
          <w:rFonts w:ascii="仿宋_GB2312" w:hAnsi="Times New Roman" w:eastAsia="仿宋_GB2312" w:cs="Times New Roman"/>
          <w:sz w:val="28"/>
          <w:szCs w:val="28"/>
        </w:rPr>
        <w:t>号）第三部分</w:t>
      </w:r>
      <w:r>
        <w:rPr>
          <w:rFonts w:hint="eastAsia" w:ascii="仿宋_GB2312" w:hAnsi="Times New Roman" w:eastAsia="仿宋_GB2312" w:cs="Times New Roman"/>
          <w:sz w:val="28"/>
          <w:szCs w:val="28"/>
        </w:rPr>
        <w:t>“</w:t>
      </w:r>
      <w:r>
        <w:rPr>
          <w:rFonts w:ascii="Times New Roman" w:hAnsi="Times New Roman" w:eastAsia="仿宋_GB2312" w:cs="Times New Roman"/>
          <w:sz w:val="28"/>
          <w:szCs w:val="28"/>
        </w:rPr>
        <w:t>1214</w:t>
      </w:r>
      <w:r>
        <w:rPr>
          <w:rFonts w:ascii="仿宋_GB2312" w:hAnsi="Times New Roman" w:eastAsia="仿宋_GB2312" w:cs="Times New Roman"/>
          <w:sz w:val="28"/>
          <w:szCs w:val="28"/>
        </w:rPr>
        <w:t>预付账款</w:t>
      </w:r>
      <w:r>
        <w:rPr>
          <w:rFonts w:ascii="Times New Roman" w:hAnsi="Times New Roman" w:eastAsia="仿宋_GB2312" w:cs="Times New Roman"/>
          <w:sz w:val="28"/>
          <w:szCs w:val="28"/>
        </w:rPr>
        <w:t>……</w:t>
      </w:r>
      <w:r>
        <w:rPr>
          <w:rFonts w:ascii="仿宋_GB2312" w:hAnsi="Times New Roman" w:eastAsia="仿宋_GB2312" w:cs="Times New Roman"/>
          <w:sz w:val="28"/>
          <w:szCs w:val="28"/>
        </w:rPr>
        <w:t>预付账款的主要账务处理如下：（一）根据购货、服务合同或协议规定预付款项时，按照预付金额，借记本科目</w:t>
      </w:r>
      <w:r>
        <w:rPr>
          <w:rFonts w:ascii="Times New Roman" w:hAnsi="Times New Roman" w:eastAsia="仿宋_GB2312" w:cs="Times New Roman"/>
          <w:sz w:val="28"/>
          <w:szCs w:val="28"/>
        </w:rPr>
        <w:t>……</w:t>
      </w:r>
      <w:r>
        <w:rPr>
          <w:rFonts w:ascii="仿宋_GB2312" w:hAnsi="Times New Roman" w:eastAsia="仿宋_GB2312" w:cs="Times New Roman"/>
          <w:sz w:val="28"/>
          <w:szCs w:val="28"/>
        </w:rPr>
        <w:t>（三）根据工程进度结算工程价款及备料款时，按照结算金额，借记</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在建工程</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科目，按照相关预付账款的账面余额，贷记本科目</w:t>
      </w:r>
      <w:r>
        <w:rPr>
          <w:rFonts w:ascii="Times New Roman" w:hAnsi="Times New Roman" w:eastAsia="仿宋_GB2312" w:cs="Times New Roman"/>
          <w:sz w:val="28"/>
          <w:szCs w:val="28"/>
        </w:rPr>
        <w:t>……</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的规定</w:t>
      </w:r>
      <w:r>
        <w:rPr>
          <w:rFonts w:hint="eastAsia" w:ascii="仿宋_GB2312" w:hAnsi="Times New Roman" w:eastAsia="仿宋_GB2312" w:cs="Times New Roman"/>
          <w:sz w:val="28"/>
          <w:szCs w:val="28"/>
        </w:rPr>
        <w:t>。</w:t>
      </w:r>
    </w:p>
    <w:p>
      <w:pPr>
        <w:keepNext w:val="0"/>
        <w:keepLines w:val="0"/>
        <w:pageBreakBefore w:val="0"/>
        <w:kinsoku/>
        <w:wordWrap/>
        <w:overflowPunct/>
        <w:topLinePunct w:val="0"/>
        <w:autoSpaceDE/>
        <w:autoSpaceDN/>
        <w:bidi w:val="0"/>
        <w:spacing w:line="400" w:lineRule="exact"/>
        <w:ind w:firstLine="560"/>
        <w:textAlignment w:val="auto"/>
        <w:rPr>
          <w:rFonts w:eastAsia="仿宋_GB2312"/>
          <w:sz w:val="28"/>
          <w:szCs w:val="28"/>
        </w:rPr>
      </w:pPr>
      <w:r>
        <w:rPr>
          <w:rFonts w:hint="eastAsia" w:ascii="仿宋_GB2312" w:eastAsia="仿宋_GB2312"/>
          <w:sz w:val="28"/>
          <w:szCs w:val="28"/>
        </w:rPr>
        <w:t>项目办应对此进行整改，全面清理检查</w:t>
      </w:r>
      <w:r>
        <w:rPr>
          <w:rFonts w:ascii="仿宋_GB2312" w:eastAsia="仿宋_GB2312"/>
          <w:sz w:val="28"/>
          <w:szCs w:val="28"/>
        </w:rPr>
        <w:t>核对基础财务信息并做好财务核算，</w:t>
      </w:r>
      <w:r>
        <w:rPr>
          <w:rFonts w:hint="eastAsia" w:ascii="仿宋_GB2312" w:eastAsia="仿宋_GB2312"/>
          <w:sz w:val="28"/>
          <w:szCs w:val="28"/>
        </w:rPr>
        <w:t>确保财务报表数据准确性，</w:t>
      </w:r>
      <w:r>
        <w:rPr>
          <w:rFonts w:ascii="仿宋_GB2312" w:eastAsia="仿宋_GB2312"/>
          <w:sz w:val="28"/>
          <w:szCs w:val="28"/>
        </w:rPr>
        <w:t>杜绝类似情况再次发生。</w:t>
      </w:r>
      <w:r>
        <w:rPr>
          <w:rFonts w:hint="eastAsia" w:ascii="仿宋_GB2312" w:eastAsia="仿宋_GB2312"/>
          <w:sz w:val="28"/>
          <w:szCs w:val="28"/>
        </w:rPr>
        <w:t>你办已接受审计意见。</w:t>
      </w:r>
    </w:p>
    <w:p>
      <w:pPr>
        <w:pStyle w:val="42"/>
        <w:keepNext w:val="0"/>
        <w:keepLines w:val="0"/>
        <w:pageBreakBefore w:val="0"/>
        <w:kinsoku/>
        <w:wordWrap/>
        <w:overflowPunct/>
        <w:topLinePunct w:val="0"/>
        <w:autoSpaceDE/>
        <w:autoSpaceDN/>
        <w:bidi w:val="0"/>
        <w:spacing w:line="400" w:lineRule="exact"/>
        <w:jc w:val="both"/>
        <w:textAlignment w:val="auto"/>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outlineLvl w:val="2"/>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4.</w:t>
      </w:r>
      <w:r>
        <w:rPr>
          <w:rFonts w:hint="eastAsia" w:ascii="仿宋_GB2312" w:hAnsi="Times New Roman" w:eastAsia="仿宋_GB2312" w:cs="Times New Roman"/>
          <w:b/>
          <w:bCs/>
          <w:sz w:val="28"/>
          <w:szCs w:val="28"/>
        </w:rPr>
        <w:t>工程建设项目招投标实施程序违反相关规定。</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outlineLvl w:val="3"/>
        <w:rPr>
          <w:rFonts w:ascii="Times New Roman" w:hAnsi="Times New Roman" w:eastAsia="仿宋_GB2312" w:cs="Times New Roman"/>
          <w:b/>
          <w:bCs/>
          <w:sz w:val="28"/>
          <w:szCs w:val="28"/>
        </w:rPr>
      </w:pPr>
      <w:r>
        <w:rPr>
          <w:rFonts w:hint="eastAsia" w:ascii="仿宋_GB2312" w:hAnsi="Times New Roman" w:eastAsia="仿宋_GB2312" w:cs="Times New Roman"/>
          <w:b/>
          <w:bCs/>
          <w:sz w:val="28"/>
          <w:szCs w:val="28"/>
        </w:rPr>
        <w:t>（</w:t>
      </w:r>
      <w:r>
        <w:rPr>
          <w:rFonts w:hint="eastAsia" w:ascii="Times New Roman" w:hAnsi="Times New Roman" w:eastAsia="仿宋_GB2312" w:cs="Times New Roman"/>
          <w:b/>
          <w:bCs/>
          <w:sz w:val="28"/>
          <w:szCs w:val="28"/>
        </w:rPr>
        <w:t>1</w:t>
      </w:r>
      <w:r>
        <w:rPr>
          <w:rFonts w:hint="eastAsia" w:ascii="仿宋_GB2312" w:hAnsi="Times New Roman" w:eastAsia="仿宋_GB2312" w:cs="Times New Roman"/>
          <w:b/>
          <w:bCs/>
          <w:sz w:val="28"/>
          <w:szCs w:val="28"/>
        </w:rPr>
        <w:t xml:space="preserve">）未按规定发布招标公告。 </w:t>
      </w:r>
    </w:p>
    <w:p>
      <w:pPr>
        <w:pStyle w:val="41"/>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2021</w:t>
      </w:r>
      <w:r>
        <w:rPr>
          <w:rFonts w:ascii="仿宋_GB2312" w:hAnsi="Times New Roman" w:eastAsia="仿宋_GB2312" w:cs="Times New Roman"/>
          <w:sz w:val="28"/>
          <w:szCs w:val="28"/>
        </w:rPr>
        <w:t>年</w:t>
      </w:r>
      <w:r>
        <w:rPr>
          <w:rFonts w:ascii="Times New Roman" w:hAnsi="Times New Roman" w:eastAsia="仿宋_GB2312" w:cs="Times New Roman"/>
          <w:sz w:val="28"/>
          <w:szCs w:val="28"/>
        </w:rPr>
        <w:t>12</w:t>
      </w:r>
      <w:r>
        <w:rPr>
          <w:rFonts w:ascii="仿宋_GB2312" w:hAnsi="Times New Roman" w:eastAsia="仿宋_GB2312" w:cs="Times New Roman"/>
          <w:sz w:val="28"/>
          <w:szCs w:val="28"/>
        </w:rPr>
        <w:t>月</w:t>
      </w:r>
      <w:r>
        <w:rPr>
          <w:rFonts w:ascii="Times New Roman" w:hAnsi="Times New Roman" w:eastAsia="仿宋_GB2312" w:cs="Times New Roman"/>
          <w:sz w:val="28"/>
          <w:szCs w:val="28"/>
        </w:rPr>
        <w:t>10</w:t>
      </w:r>
      <w:r>
        <w:rPr>
          <w:rFonts w:ascii="仿宋_GB2312" w:hAnsi="Times New Roman" w:eastAsia="仿宋_GB2312" w:cs="Times New Roman"/>
          <w:sz w:val="28"/>
          <w:szCs w:val="28"/>
        </w:rPr>
        <w:t>日，</w:t>
      </w:r>
      <w:r>
        <w:rPr>
          <w:rFonts w:hint="eastAsia" w:ascii="仿宋_GB2312" w:hAnsi="Times New Roman" w:eastAsia="仿宋_GB2312"/>
          <w:sz w:val="28"/>
          <w:szCs w:val="28"/>
        </w:rPr>
        <w:t>项目实施机构</w:t>
      </w:r>
      <w:r>
        <w:rPr>
          <w:rFonts w:hint="eastAsia" w:ascii="仿宋_GB2312" w:hAnsi="Times New Roman" w:eastAsia="仿宋_GB2312" w:cs="Times New Roman"/>
          <w:sz w:val="28"/>
          <w:szCs w:val="28"/>
        </w:rPr>
        <w:t>资阳</w:t>
      </w:r>
      <w:r>
        <w:rPr>
          <w:rFonts w:ascii="仿宋_GB2312" w:hAnsi="Times New Roman" w:eastAsia="仿宋_GB2312" w:cs="Times New Roman"/>
          <w:sz w:val="28"/>
          <w:szCs w:val="28"/>
        </w:rPr>
        <w:t>高新管委会在</w:t>
      </w:r>
      <w:r>
        <w:rPr>
          <w:rFonts w:hint="eastAsia" w:ascii="仿宋_GB2312" w:hAnsi="Times New Roman" w:eastAsia="仿宋_GB2312" w:cs="Times New Roman"/>
          <w:sz w:val="28"/>
          <w:szCs w:val="28"/>
        </w:rPr>
        <w:t>中国</w:t>
      </w:r>
      <w:r>
        <w:rPr>
          <w:rFonts w:ascii="仿宋_GB2312" w:hAnsi="Times New Roman" w:eastAsia="仿宋_GB2312" w:cs="Times New Roman"/>
          <w:sz w:val="28"/>
          <w:szCs w:val="28"/>
        </w:rPr>
        <w:t>采购与招标网（</w:t>
      </w:r>
      <w:r>
        <w:rPr>
          <w:rFonts w:ascii="Times New Roman" w:hAnsi="Times New Roman" w:eastAsia="仿宋_GB2312" w:cs="Times New Roman"/>
          <w:sz w:val="28"/>
          <w:szCs w:val="28"/>
        </w:rPr>
        <w:t>www.chinabidding.cn</w:t>
      </w:r>
      <w:r>
        <w:rPr>
          <w:rFonts w:ascii="仿宋_GB2312" w:hAnsi="Times New Roman" w:eastAsia="仿宋_GB2312" w:cs="Times New Roman"/>
          <w:sz w:val="28"/>
          <w:szCs w:val="28"/>
        </w:rPr>
        <w:t>）和</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"http://bulletin.cebpubservice.com/" </w:instrText>
      </w:r>
      <w:r>
        <w:rPr>
          <w:color w:val="000000" w:themeColor="text1"/>
          <w:u w:val="none"/>
          <w14:textFill>
            <w14:solidFill>
              <w14:schemeClr w14:val="tx1"/>
            </w14:solidFill>
          </w14:textFill>
        </w:rPr>
        <w:fldChar w:fldCharType="separate"/>
      </w:r>
      <w:r>
        <w:rPr>
          <w:rStyle w:val="9"/>
          <w:rFonts w:ascii="仿宋_GB2312" w:hAnsi="Times New Roman" w:eastAsia="仿宋_GB2312" w:cs="Times New Roman"/>
          <w:color w:val="000000" w:themeColor="text1"/>
          <w:sz w:val="28"/>
          <w:szCs w:val="28"/>
          <w:u w:val="none"/>
          <w14:textFill>
            <w14:solidFill>
              <w14:schemeClr w14:val="tx1"/>
            </w14:solidFill>
          </w14:textFill>
        </w:rPr>
        <w:t>中国招标投标公共服务平台</w:t>
      </w:r>
      <w:r>
        <w:rPr>
          <w:rStyle w:val="9"/>
          <w:rFonts w:ascii="Times New Roman" w:hAnsi="Times New Roman" w:eastAsia="仿宋_GB2312" w:cs="Times New Roman"/>
          <w:color w:val="000000" w:themeColor="text1"/>
          <w:sz w:val="28"/>
          <w:szCs w:val="28"/>
          <w:u w:val="none"/>
          <w14:textFill>
            <w14:solidFill>
              <w14:schemeClr w14:val="tx1"/>
            </w14:solidFill>
          </w14:textFill>
        </w:rPr>
        <w:t>(www.cebpubservice.com)</w:t>
      </w:r>
      <w:r>
        <w:rPr>
          <w:rStyle w:val="9"/>
          <w:rFonts w:ascii="Times New Roman" w:hAnsi="Times New Roman" w:eastAsia="仿宋_GB2312" w:cs="Times New Roman"/>
          <w:color w:val="000000" w:themeColor="text1"/>
          <w:sz w:val="28"/>
          <w:szCs w:val="28"/>
          <w:u w:val="none"/>
          <w14:textFill>
            <w14:solidFill>
              <w14:schemeClr w14:val="tx1"/>
            </w14:solidFill>
          </w14:textFill>
        </w:rPr>
        <w:fldChar w:fldCharType="end"/>
      </w:r>
      <w:r>
        <w:rPr>
          <w:rFonts w:ascii="仿宋_GB2312" w:hAnsi="Times New Roman" w:eastAsia="仿宋_GB2312" w:cs="Times New Roman"/>
          <w:sz w:val="28"/>
          <w:szCs w:val="28"/>
        </w:rPr>
        <w:t>发布城南滨江生态河堤</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垃圾处理厂封场及生态恢复</w:t>
      </w:r>
      <w:r>
        <w:rPr>
          <w:rFonts w:hint="eastAsia" w:ascii="Times New Roman" w:hAnsi="Times New Roman" w:eastAsia="仿宋_GB2312" w:cs="Times New Roman"/>
          <w:sz w:val="28"/>
          <w:szCs w:val="28"/>
        </w:rPr>
        <w:t>2</w:t>
      </w:r>
      <w:r>
        <w:rPr>
          <w:rFonts w:hint="eastAsia" w:ascii="仿宋_GB2312" w:hAnsi="Times New Roman" w:eastAsia="仿宋_GB2312" w:cs="Times New Roman"/>
          <w:sz w:val="28"/>
          <w:szCs w:val="28"/>
        </w:rPr>
        <w:t>个子项目</w:t>
      </w:r>
      <w:r>
        <w:rPr>
          <w:rFonts w:ascii="仿宋_GB2312" w:hAnsi="Times New Roman" w:eastAsia="仿宋_GB2312" w:cs="Times New Roman"/>
          <w:sz w:val="28"/>
          <w:szCs w:val="28"/>
        </w:rPr>
        <w:t>的招标公告，</w:t>
      </w:r>
      <w:r>
        <w:rPr>
          <w:rFonts w:hint="eastAsia" w:ascii="仿宋_GB2312" w:hAnsi="Times New Roman" w:eastAsia="仿宋_GB2312" w:cs="Times New Roman"/>
          <w:sz w:val="28"/>
          <w:szCs w:val="28"/>
        </w:rPr>
        <w:t>未按规定在我省指定的全国公共资源交易平台（四川省）向社会公开发布招标公告。</w:t>
      </w:r>
      <w:r>
        <w:rPr>
          <w:rFonts w:hint="eastAsia" w:ascii="Times New Roman" w:hAnsi="Times New Roman" w:eastAsia="仿宋_GB2312" w:cs="Times New Roman"/>
          <w:sz w:val="28"/>
          <w:szCs w:val="28"/>
        </w:rPr>
        <w:t xml:space="preserve"> </w:t>
      </w:r>
    </w:p>
    <w:p>
      <w:pPr>
        <w:pStyle w:val="41"/>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w:t>
      </w:r>
      <w:r>
        <w:rPr>
          <w:rFonts w:ascii="仿宋_GB2312" w:hAnsi="Times New Roman" w:eastAsia="仿宋_GB2312" w:cs="Times New Roman"/>
          <w:sz w:val="28"/>
          <w:szCs w:val="28"/>
        </w:rPr>
        <w:t>行为</w:t>
      </w:r>
      <w:r>
        <w:rPr>
          <w:rFonts w:hint="eastAsia" w:ascii="仿宋_GB2312" w:hAnsi="Times New Roman" w:eastAsia="仿宋_GB2312" w:cs="Times New Roman"/>
          <w:sz w:val="28"/>
          <w:szCs w:val="28"/>
        </w:rPr>
        <w:t>不符合</w:t>
      </w:r>
      <w:r>
        <w:rPr>
          <w:rFonts w:ascii="仿宋_GB2312" w:hAnsi="Times New Roman" w:eastAsia="仿宋_GB2312" w:cs="Times New Roman"/>
          <w:sz w:val="28"/>
          <w:szCs w:val="28"/>
        </w:rPr>
        <w:t>《四川省发展和改革委员会关于修订四川省招投标信息公开办法的通知》（川发改招管〔</w:t>
      </w:r>
      <w:r>
        <w:rPr>
          <w:rFonts w:ascii="Times New Roman" w:hAnsi="Times New Roman" w:eastAsia="仿宋_GB2312" w:cs="Times New Roman"/>
          <w:sz w:val="28"/>
          <w:szCs w:val="28"/>
        </w:rPr>
        <w:t>2018</w:t>
      </w:r>
      <w:r>
        <w:rPr>
          <w:rFonts w:ascii="仿宋_GB2312" w:hAnsi="Times New Roman" w:eastAsia="仿宋_GB2312" w:cs="Times New Roman"/>
          <w:sz w:val="28"/>
          <w:szCs w:val="28"/>
        </w:rPr>
        <w:t>〕</w:t>
      </w:r>
      <w:r>
        <w:rPr>
          <w:rFonts w:ascii="Times New Roman" w:hAnsi="Times New Roman" w:eastAsia="仿宋_GB2312" w:cs="Times New Roman"/>
          <w:sz w:val="28"/>
          <w:szCs w:val="28"/>
        </w:rPr>
        <w:t>182</w:t>
      </w:r>
      <w:r>
        <w:rPr>
          <w:rFonts w:ascii="仿宋_GB2312" w:hAnsi="Times New Roman" w:eastAsia="仿宋_GB2312" w:cs="Times New Roman"/>
          <w:sz w:val="28"/>
          <w:szCs w:val="28"/>
        </w:rPr>
        <w:t>号）</w:t>
      </w:r>
      <w:r>
        <w:rPr>
          <w:rFonts w:hint="eastAsia" w:ascii="仿宋_GB2312" w:hAnsi="Times New Roman" w:eastAsia="仿宋_GB2312" w:cs="Times New Roman"/>
          <w:sz w:val="28"/>
          <w:szCs w:val="28"/>
        </w:rPr>
        <w:t>第三条“依法必须进行招标项目招标公告……应至少在我省指定的《全国公共资源交易平台（四川省）》</w:t>
      </w:r>
      <w:r>
        <w:rPr>
          <w:rFonts w:ascii="Times New Roman" w:hAnsi="Times New Roman" w:eastAsia="仿宋_GB2312" w:cs="Times New Roman"/>
          <w:color w:val="000000" w:themeColor="text1"/>
          <w:sz w:val="28"/>
          <w:szCs w:val="28"/>
          <w:u w:val="none"/>
          <w14:textFill>
            <w14:solidFill>
              <w14:schemeClr w14:val="tx1"/>
            </w14:solidFill>
          </w14:textFill>
        </w:rPr>
        <w:t xml:space="preserve">( </w:t>
      </w:r>
      <w:r>
        <w:rPr>
          <w:color w:val="000000" w:themeColor="text1"/>
          <w:u w:val="none"/>
          <w14:textFill>
            <w14:solidFill>
              <w14:schemeClr w14:val="tx1"/>
            </w14:solidFill>
          </w14:textFill>
        </w:rPr>
        <w:fldChar w:fldCharType="begin"/>
      </w:r>
      <w:r>
        <w:rPr>
          <w:color w:val="000000" w:themeColor="text1"/>
          <w:u w:val="none"/>
          <w14:textFill>
            <w14:solidFill>
              <w14:schemeClr w14:val="tx1"/>
            </w14:solidFill>
          </w14:textFill>
        </w:rPr>
        <w:instrText xml:space="preserve"> HYPERLINK "http://www.scggzy.gov.cn）按规定格式及时主动公开……”的规定。" </w:instrText>
      </w:r>
      <w:r>
        <w:rPr>
          <w:color w:val="000000" w:themeColor="text1"/>
          <w:u w:val="none"/>
          <w14:textFill>
            <w14:solidFill>
              <w14:schemeClr w14:val="tx1"/>
            </w14:solidFill>
          </w14:textFill>
        </w:rPr>
        <w:fldChar w:fldCharType="separate"/>
      </w:r>
      <w:r>
        <w:rPr>
          <w:rStyle w:val="56"/>
          <w:rFonts w:eastAsia="仿宋_GB2312"/>
          <w:color w:val="000000" w:themeColor="text1"/>
          <w:sz w:val="28"/>
          <w:szCs w:val="28"/>
          <w:u w:val="none"/>
          <w14:textFill>
            <w14:solidFill>
              <w14:schemeClr w14:val="tx1"/>
            </w14:solidFill>
          </w14:textFill>
        </w:rPr>
        <w:t>http://www.scggzy.gov.cn</w:t>
      </w:r>
      <w:r>
        <w:rPr>
          <w:rStyle w:val="56"/>
          <w:rFonts w:ascii="仿宋_GB2312" w:eastAsia="仿宋_GB2312"/>
          <w:color w:val="000000" w:themeColor="text1"/>
          <w:sz w:val="28"/>
          <w:szCs w:val="28"/>
          <w:u w:val="none"/>
          <w14:textFill>
            <w14:solidFill>
              <w14:schemeClr w14:val="tx1"/>
            </w14:solidFill>
          </w14:textFill>
        </w:rPr>
        <w:t>）按规定格式及时主动公开</w:t>
      </w:r>
      <w:r>
        <w:rPr>
          <w:rStyle w:val="56"/>
          <w:rFonts w:eastAsia="仿宋_GB2312"/>
          <w:color w:val="000000" w:themeColor="text1"/>
          <w:sz w:val="28"/>
          <w:szCs w:val="28"/>
          <w:u w:val="none"/>
          <w14:textFill>
            <w14:solidFill>
              <w14:schemeClr w14:val="tx1"/>
            </w14:solidFill>
          </w14:textFill>
        </w:rPr>
        <w:t>……</w:t>
      </w:r>
      <w:r>
        <w:rPr>
          <w:rStyle w:val="56"/>
          <w:rFonts w:hint="eastAsia" w:ascii="仿宋_GB2312" w:eastAsia="仿宋_GB2312"/>
          <w:color w:val="000000" w:themeColor="text1"/>
          <w:sz w:val="28"/>
          <w:szCs w:val="28"/>
          <w:u w:val="none"/>
          <w14:textFill>
            <w14:solidFill>
              <w14:schemeClr w14:val="tx1"/>
            </w14:solidFill>
          </w14:textFill>
        </w:rPr>
        <w:t>”</w:t>
      </w:r>
      <w:r>
        <w:rPr>
          <w:rStyle w:val="56"/>
          <w:rFonts w:ascii="仿宋_GB2312" w:eastAsia="仿宋_GB2312"/>
          <w:color w:val="000000" w:themeColor="text1"/>
          <w:sz w:val="28"/>
          <w:szCs w:val="28"/>
          <w:u w:val="none"/>
          <w14:textFill>
            <w14:solidFill>
              <w14:schemeClr w14:val="tx1"/>
            </w14:solidFill>
          </w14:textFill>
        </w:rPr>
        <w:t>的规定</w:t>
      </w:r>
      <w:r>
        <w:rPr>
          <w:rStyle w:val="56"/>
          <w:rFonts w:hint="eastAsia" w:ascii="仿宋_GB2312" w:eastAsia="仿宋_GB2312"/>
          <w:color w:val="000000" w:themeColor="text1"/>
          <w:sz w:val="28"/>
          <w:szCs w:val="28"/>
          <w:u w:val="none"/>
          <w14:textFill>
            <w14:solidFill>
              <w14:schemeClr w14:val="tx1"/>
            </w14:solidFill>
          </w14:textFill>
        </w:rPr>
        <w:t>。</w:t>
      </w:r>
      <w:r>
        <w:rPr>
          <w:rStyle w:val="56"/>
          <w:rFonts w:hint="eastAsia" w:ascii="仿宋_GB2312" w:eastAsia="仿宋_GB2312"/>
          <w:color w:val="000000" w:themeColor="text1"/>
          <w:sz w:val="28"/>
          <w:szCs w:val="28"/>
          <w:u w:val="none"/>
          <w14:textFill>
            <w14:solidFill>
              <w14:schemeClr w14:val="tx1"/>
            </w14:solidFill>
          </w14:textFill>
        </w:rPr>
        <w:fldChar w:fldCharType="end"/>
      </w:r>
    </w:p>
    <w:p>
      <w:pPr>
        <w:pStyle w:val="42"/>
        <w:keepNext w:val="0"/>
        <w:keepLines w:val="0"/>
        <w:pageBreakBefore w:val="0"/>
        <w:kinsoku/>
        <w:wordWrap/>
        <w:overflowPunct/>
        <w:topLinePunct w:val="0"/>
        <w:autoSpaceDE/>
        <w:autoSpaceDN/>
        <w:bidi w:val="0"/>
        <w:spacing w:line="400" w:lineRule="exact"/>
        <w:textAlignment w:val="auto"/>
      </w:pPr>
      <w:r>
        <w:t xml:space="preserve"> </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outlineLvl w:val="3"/>
        <w:rPr>
          <w:rFonts w:ascii="Times New Roman" w:hAnsi="Times New Roman" w:eastAsia="仿宋_GB2312" w:cs="Times New Roman"/>
          <w:b/>
          <w:bCs/>
          <w:sz w:val="28"/>
          <w:szCs w:val="28"/>
        </w:rPr>
      </w:pPr>
      <w:r>
        <w:rPr>
          <w:rFonts w:hint="eastAsia" w:ascii="仿宋_GB2312" w:hAnsi="Times New Roman" w:eastAsia="仿宋_GB2312" w:cs="Times New Roman"/>
          <w:b/>
          <w:bCs/>
          <w:sz w:val="28"/>
          <w:szCs w:val="28"/>
        </w:rPr>
        <w:t>（</w:t>
      </w:r>
      <w:r>
        <w:rPr>
          <w:rFonts w:hint="eastAsia" w:ascii="Times New Roman" w:hAnsi="Times New Roman" w:eastAsia="仿宋_GB2312" w:cs="Times New Roman"/>
          <w:b/>
          <w:bCs/>
          <w:sz w:val="28"/>
          <w:szCs w:val="28"/>
        </w:rPr>
        <w:t>2</w:t>
      </w:r>
      <w:r>
        <w:rPr>
          <w:rFonts w:hint="eastAsia" w:ascii="仿宋_GB2312" w:hAnsi="Times New Roman" w:eastAsia="仿宋_GB2312" w:cs="Times New Roman"/>
          <w:b/>
          <w:bCs/>
          <w:sz w:val="28"/>
          <w:szCs w:val="28"/>
        </w:rPr>
        <w:t xml:space="preserve">）未在规定的公共资源交易场所进行交易。 </w:t>
      </w:r>
    </w:p>
    <w:p>
      <w:pPr>
        <w:pStyle w:val="41"/>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2022</w:t>
      </w:r>
      <w:r>
        <w:rPr>
          <w:rFonts w:ascii="仿宋_GB2312" w:hAnsi="Times New Roman" w:eastAsia="仿宋_GB2312" w:cs="Times New Roman"/>
          <w:sz w:val="28"/>
          <w:szCs w:val="28"/>
        </w:rPr>
        <w:t>年</w:t>
      </w:r>
      <w:r>
        <w:rPr>
          <w:rFonts w:ascii="Times New Roman" w:hAnsi="Times New Roman" w:eastAsia="仿宋_GB2312" w:cs="Times New Roman"/>
          <w:sz w:val="28"/>
          <w:szCs w:val="28"/>
        </w:rPr>
        <w:t>2</w:t>
      </w:r>
      <w:r>
        <w:rPr>
          <w:rFonts w:ascii="仿宋_GB2312" w:hAnsi="Times New Roman" w:eastAsia="仿宋_GB2312" w:cs="Times New Roman"/>
          <w:sz w:val="28"/>
          <w:szCs w:val="28"/>
        </w:rPr>
        <w:t>月</w:t>
      </w:r>
      <w:r>
        <w:rPr>
          <w:rFonts w:ascii="Times New Roman" w:hAnsi="Times New Roman" w:eastAsia="仿宋_GB2312" w:cs="Times New Roman"/>
          <w:sz w:val="28"/>
          <w:szCs w:val="28"/>
        </w:rPr>
        <w:t>10</w:t>
      </w:r>
      <w:r>
        <w:rPr>
          <w:rFonts w:ascii="仿宋_GB2312" w:hAnsi="Times New Roman" w:eastAsia="仿宋_GB2312" w:cs="Times New Roman"/>
          <w:sz w:val="28"/>
          <w:szCs w:val="28"/>
        </w:rPr>
        <w:t>日，</w:t>
      </w:r>
      <w:r>
        <w:rPr>
          <w:rFonts w:hint="eastAsia" w:ascii="仿宋_GB2312" w:hAnsi="Times New Roman" w:eastAsia="仿宋_GB2312"/>
          <w:sz w:val="28"/>
          <w:szCs w:val="28"/>
        </w:rPr>
        <w:t>项目实施机构</w:t>
      </w:r>
      <w:r>
        <w:rPr>
          <w:rFonts w:hint="eastAsia" w:ascii="仿宋_GB2312" w:hAnsi="Times New Roman" w:eastAsia="仿宋_GB2312" w:cs="Times New Roman"/>
          <w:sz w:val="28"/>
          <w:szCs w:val="28"/>
        </w:rPr>
        <w:t>资阳</w:t>
      </w:r>
      <w:r>
        <w:rPr>
          <w:rFonts w:ascii="仿宋_GB2312" w:hAnsi="Times New Roman" w:eastAsia="仿宋_GB2312" w:cs="Times New Roman"/>
          <w:sz w:val="28"/>
          <w:szCs w:val="28"/>
        </w:rPr>
        <w:t>高新管委会在资阳市公共资源交易中心</w:t>
      </w:r>
      <w:r>
        <w:rPr>
          <w:rFonts w:hint="eastAsia" w:ascii="仿宋_GB2312" w:hAnsi="Times New Roman" w:eastAsia="仿宋_GB2312" w:cs="Times New Roman"/>
          <w:sz w:val="28"/>
          <w:szCs w:val="28"/>
        </w:rPr>
        <w:t>对</w:t>
      </w:r>
      <w:r>
        <w:rPr>
          <w:rFonts w:ascii="仿宋_GB2312" w:hAnsi="Times New Roman" w:eastAsia="仿宋_GB2312" w:cs="Times New Roman"/>
          <w:sz w:val="28"/>
          <w:szCs w:val="28"/>
        </w:rPr>
        <w:t>城南滨江生态河堤</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垃圾处理厂封场及生态恢复</w:t>
      </w:r>
      <w:r>
        <w:rPr>
          <w:rFonts w:hint="eastAsia" w:ascii="Times New Roman" w:hAnsi="Times New Roman" w:eastAsia="仿宋_GB2312" w:cs="Times New Roman"/>
          <w:sz w:val="28"/>
          <w:szCs w:val="28"/>
        </w:rPr>
        <w:t>2</w:t>
      </w:r>
      <w:r>
        <w:rPr>
          <w:rFonts w:hint="eastAsia" w:ascii="仿宋_GB2312" w:hAnsi="Times New Roman" w:eastAsia="仿宋_GB2312" w:cs="Times New Roman"/>
          <w:sz w:val="28"/>
          <w:szCs w:val="28"/>
        </w:rPr>
        <w:t>个子</w:t>
      </w:r>
      <w:r>
        <w:rPr>
          <w:rFonts w:ascii="仿宋_GB2312" w:hAnsi="Times New Roman" w:eastAsia="仿宋_GB2312" w:cs="Times New Roman"/>
          <w:sz w:val="28"/>
          <w:szCs w:val="28"/>
        </w:rPr>
        <w:t>项目</w:t>
      </w:r>
      <w:r>
        <w:rPr>
          <w:rFonts w:hint="eastAsia" w:ascii="仿宋_GB2312" w:hAnsi="Times New Roman" w:eastAsia="仿宋_GB2312" w:cs="Times New Roman"/>
          <w:sz w:val="28"/>
          <w:szCs w:val="28"/>
        </w:rPr>
        <w:t>进行了开标评标。此项目</w:t>
      </w:r>
      <w:r>
        <w:rPr>
          <w:rFonts w:ascii="仿宋_GB2312" w:eastAsia="仿宋_GB2312"/>
          <w:sz w:val="28"/>
          <w:szCs w:val="28"/>
        </w:rPr>
        <w:t>系</w:t>
      </w:r>
      <w:r>
        <w:rPr>
          <w:rFonts w:hint="eastAsia" w:ascii="仿宋_GB2312" w:eastAsia="仿宋_GB2312"/>
          <w:sz w:val="28"/>
          <w:szCs w:val="28"/>
        </w:rPr>
        <w:t>四川</w:t>
      </w:r>
      <w:r>
        <w:rPr>
          <w:rFonts w:ascii="仿宋_GB2312" w:eastAsia="仿宋_GB2312"/>
          <w:sz w:val="28"/>
          <w:szCs w:val="28"/>
        </w:rPr>
        <w:t>省发展改革委批复立项</w:t>
      </w:r>
      <w:r>
        <w:rPr>
          <w:rFonts w:hint="eastAsia" w:ascii="仿宋_GB2312" w:eastAsia="仿宋_GB2312"/>
          <w:sz w:val="28"/>
          <w:szCs w:val="28"/>
        </w:rPr>
        <w:t>的</w:t>
      </w:r>
      <w:r>
        <w:rPr>
          <w:rFonts w:hint="eastAsia" w:ascii="仿宋_GB2312" w:hAnsi="Times New Roman" w:eastAsia="仿宋_GB2312" w:cs="Times New Roman"/>
          <w:sz w:val="28"/>
          <w:szCs w:val="28"/>
        </w:rPr>
        <w:t>工程项目，未</w:t>
      </w:r>
      <w:r>
        <w:rPr>
          <w:rFonts w:ascii="仿宋_GB2312" w:hAnsi="Times New Roman" w:eastAsia="仿宋_GB2312" w:cs="Times New Roman"/>
          <w:sz w:val="28"/>
          <w:szCs w:val="28"/>
        </w:rPr>
        <w:t>按规定在四川省公共资源交易中心</w:t>
      </w:r>
      <w:r>
        <w:rPr>
          <w:rFonts w:hint="eastAsia" w:ascii="仿宋_GB2312" w:hAnsi="Times New Roman" w:eastAsia="仿宋_GB2312" w:cs="Times New Roman"/>
          <w:sz w:val="28"/>
          <w:szCs w:val="28"/>
        </w:rPr>
        <w:t>进行交易</w:t>
      </w:r>
      <w:r>
        <w:rPr>
          <w:rFonts w:ascii="仿宋_GB2312" w:hAnsi="Times New Roman" w:eastAsia="仿宋_GB2312" w:cs="Times New Roman"/>
          <w:sz w:val="28"/>
          <w:szCs w:val="28"/>
        </w:rPr>
        <w:t>。</w:t>
      </w:r>
    </w:p>
    <w:p>
      <w:pPr>
        <w:pStyle w:val="41"/>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ascii="仿宋_GB2312" w:hAnsi="Times New Roman" w:eastAsia="仿宋_GB2312" w:cs="Times New Roman"/>
          <w:sz w:val="28"/>
          <w:szCs w:val="28"/>
        </w:rPr>
        <w:t>以上行为</w:t>
      </w:r>
      <w:r>
        <w:rPr>
          <w:rFonts w:hint="eastAsia" w:ascii="仿宋_GB2312" w:hAnsi="Times New Roman" w:eastAsia="仿宋_GB2312" w:cs="Times New Roman"/>
          <w:sz w:val="28"/>
          <w:szCs w:val="28"/>
        </w:rPr>
        <w:t>不符合</w:t>
      </w:r>
      <w:r>
        <w:rPr>
          <w:rFonts w:ascii="仿宋_GB2312" w:hAnsi="Times New Roman" w:eastAsia="仿宋_GB2312" w:cs="Times New Roman"/>
          <w:sz w:val="28"/>
          <w:szCs w:val="28"/>
        </w:rPr>
        <w:t>了四川省人民政府《关于进一步规范国家投资工程建设项目招标投标工作的意见》（川府发〔</w:t>
      </w:r>
      <w:r>
        <w:rPr>
          <w:rFonts w:ascii="Times New Roman" w:hAnsi="Times New Roman" w:eastAsia="仿宋_GB2312" w:cs="Times New Roman"/>
          <w:sz w:val="28"/>
          <w:szCs w:val="28"/>
        </w:rPr>
        <w:t>2014</w:t>
      </w:r>
      <w:r>
        <w:rPr>
          <w:rFonts w:ascii="仿宋_GB2312" w:hAnsi="Times New Roman" w:eastAsia="仿宋_GB2312" w:cs="Times New Roman"/>
          <w:sz w:val="28"/>
          <w:szCs w:val="28"/>
        </w:rPr>
        <w:t>〕</w:t>
      </w:r>
      <w:r>
        <w:rPr>
          <w:rFonts w:ascii="Times New Roman" w:hAnsi="Times New Roman" w:eastAsia="仿宋_GB2312" w:cs="Times New Roman"/>
          <w:sz w:val="28"/>
          <w:szCs w:val="28"/>
        </w:rPr>
        <w:t>62</w:t>
      </w:r>
      <w:r>
        <w:rPr>
          <w:rFonts w:ascii="仿宋_GB2312" w:hAnsi="Times New Roman" w:eastAsia="仿宋_GB2312" w:cs="Times New Roman"/>
          <w:sz w:val="28"/>
          <w:szCs w:val="28"/>
        </w:rPr>
        <w:t>号）中</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一、完善招标投标操作制度</w:t>
      </w:r>
      <w:r>
        <w:rPr>
          <w:rFonts w:ascii="Times New Roman" w:hAnsi="Times New Roman" w:eastAsia="仿宋_GB2312" w:cs="Times New Roman"/>
          <w:sz w:val="28"/>
          <w:szCs w:val="28"/>
        </w:rPr>
        <w:t>……</w:t>
      </w:r>
      <w:r>
        <w:rPr>
          <w:rFonts w:ascii="仿宋_GB2312" w:hAnsi="Times New Roman" w:eastAsia="仿宋_GB2312" w:cs="Times New Roman"/>
          <w:sz w:val="28"/>
          <w:szCs w:val="28"/>
        </w:rPr>
        <w:t>（七）统一交易场所设置与服务。</w:t>
      </w:r>
      <w:r>
        <w:rPr>
          <w:rFonts w:ascii="Times New Roman" w:hAnsi="Times New Roman" w:eastAsia="仿宋_GB2312" w:cs="Times New Roman"/>
          <w:sz w:val="28"/>
          <w:szCs w:val="28"/>
        </w:rPr>
        <w:t>……</w:t>
      </w:r>
      <w:r>
        <w:rPr>
          <w:rFonts w:ascii="仿宋_GB2312" w:hAnsi="Times New Roman" w:eastAsia="仿宋_GB2312" w:cs="Times New Roman"/>
          <w:sz w:val="28"/>
          <w:szCs w:val="28"/>
        </w:rPr>
        <w:t>按照国家有关规定需要履行项目审批、核准手续，依法必须进行招标的国家投资工程建设项目，应按项目隶属关系分级进入省、市（州）招标投标交易场所进行交易</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的规定。</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w:t>
      </w:r>
      <w:r>
        <w:rPr>
          <w:rFonts w:hint="eastAsia" w:ascii="Times New Roman" w:hAnsi="Times New Roman" w:eastAsia="仿宋_GB2312" w:cs="Times New Roman"/>
          <w:sz w:val="28"/>
          <w:szCs w:val="28"/>
        </w:rPr>
        <w:t>1</w:t>
      </w:r>
      <w:r>
        <w:rPr>
          <w:rFonts w:hint="eastAsia" w:ascii="仿宋_GB2312" w:hAnsi="Times New Roman" w:eastAsia="仿宋_GB2312" w:cs="Times New Roman"/>
          <w:sz w:val="28"/>
          <w:szCs w:val="28"/>
        </w:rPr>
        <w:t>）、（</w:t>
      </w:r>
      <w:r>
        <w:rPr>
          <w:rFonts w:hint="eastAsia" w:ascii="Times New Roman" w:hAnsi="Times New Roman" w:eastAsia="仿宋_GB2312" w:cs="Times New Roman"/>
          <w:sz w:val="28"/>
          <w:szCs w:val="28"/>
        </w:rPr>
        <w:t>2</w:t>
      </w:r>
      <w:r>
        <w:rPr>
          <w:rFonts w:hint="eastAsia" w:ascii="仿宋_GB2312" w:hAnsi="Times New Roman" w:eastAsia="仿宋_GB2312" w:cs="Times New Roman"/>
          <w:sz w:val="28"/>
          <w:szCs w:val="28"/>
        </w:rPr>
        <w:t>）问题，项目办应督促资阳高新管委会进行整改，追究相关人员责任，</w:t>
      </w:r>
      <w:r>
        <w:rPr>
          <w:rFonts w:ascii="仿宋_GB2312" w:hAnsi="Times New Roman" w:eastAsia="仿宋_GB2312" w:cs="Times New Roman"/>
          <w:sz w:val="28"/>
          <w:szCs w:val="28"/>
        </w:rPr>
        <w:t>严格执行招投标相关规定，加强对招标代理机构履职情况的监督，杜绝类似情况再次发生。</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1"/>
        <w:keepNext w:val="0"/>
        <w:keepLines w:val="0"/>
        <w:pageBreakBefore w:val="0"/>
        <w:kinsoku/>
        <w:wordWrap/>
        <w:overflowPunct/>
        <w:topLinePunct w:val="0"/>
        <w:autoSpaceDE/>
        <w:autoSpaceDN/>
        <w:bidi w:val="0"/>
        <w:spacing w:line="400" w:lineRule="exact"/>
        <w:ind w:firstLine="562" w:firstLineChars="200"/>
        <w:textAlignment w:val="auto"/>
        <w:outlineLvl w:val="3"/>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 xml:space="preserve"> </w:t>
      </w:r>
    </w:p>
    <w:p>
      <w:pPr>
        <w:pStyle w:val="41"/>
        <w:keepNext w:val="0"/>
        <w:keepLines w:val="0"/>
        <w:pageBreakBefore w:val="0"/>
        <w:kinsoku/>
        <w:wordWrap/>
        <w:overflowPunct/>
        <w:topLinePunct w:val="0"/>
        <w:autoSpaceDE/>
        <w:autoSpaceDN/>
        <w:bidi w:val="0"/>
        <w:spacing w:line="400" w:lineRule="exact"/>
        <w:ind w:firstLine="562" w:firstLineChars="200"/>
        <w:textAlignment w:val="auto"/>
        <w:outlineLvl w:val="3"/>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5.</w:t>
      </w:r>
      <w:r>
        <w:rPr>
          <w:rFonts w:hint="eastAsia" w:ascii="仿宋_GB2312" w:hAnsi="Times New Roman" w:eastAsia="仿宋_GB2312" w:cs="Times New Roman"/>
          <w:b/>
          <w:bCs/>
          <w:sz w:val="28"/>
          <w:szCs w:val="28"/>
        </w:rPr>
        <w:t xml:space="preserve">未严格落实建筑工人实名制管理办法。 </w:t>
      </w:r>
    </w:p>
    <w:p>
      <w:pPr>
        <w:pStyle w:val="41"/>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sz w:val="28"/>
          <w:szCs w:val="28"/>
        </w:rPr>
        <w:t>项目实施机构</w:t>
      </w:r>
      <w:r>
        <w:rPr>
          <w:rFonts w:hint="eastAsia" w:ascii="仿宋_GB2312" w:hAnsi="Times New Roman" w:eastAsia="仿宋_GB2312" w:cs="Times New Roman"/>
          <w:sz w:val="28"/>
          <w:szCs w:val="28"/>
        </w:rPr>
        <w:t>资阳</w:t>
      </w:r>
      <w:r>
        <w:rPr>
          <w:rFonts w:ascii="仿宋_GB2312" w:hAnsi="Times New Roman" w:eastAsia="仿宋_GB2312" w:cs="Times New Roman"/>
          <w:sz w:val="28"/>
          <w:szCs w:val="28"/>
        </w:rPr>
        <w:t>高新管委会</w:t>
      </w:r>
      <w:r>
        <w:rPr>
          <w:rFonts w:hint="eastAsia" w:ascii="仿宋_GB2312" w:hAnsi="Times New Roman" w:eastAsia="仿宋_GB2312" w:cs="Times New Roman"/>
          <w:sz w:val="28"/>
          <w:szCs w:val="28"/>
        </w:rPr>
        <w:t>在高新区裸露山体生态修复、雁南湖水环境治理及湿地修复</w:t>
      </w:r>
      <w:r>
        <w:rPr>
          <w:rFonts w:hint="eastAsia" w:eastAsia="仿宋_GB2312" w:cs="Calibri"/>
          <w:sz w:val="28"/>
          <w:szCs w:val="28"/>
        </w:rPr>
        <w:t>2</w:t>
      </w:r>
      <w:r>
        <w:rPr>
          <w:rFonts w:hint="eastAsia" w:ascii="仿宋_GB2312" w:hAnsi="Times New Roman" w:eastAsia="仿宋_GB2312" w:cs="Times New Roman"/>
          <w:sz w:val="28"/>
          <w:szCs w:val="28"/>
        </w:rPr>
        <w:t>个子项目施工招标文件和施工合同中均未明确约定“建筑工人实名制管理”相关要求，未督促施工单位实行建筑工人实名制管理及开设、使用建筑工人工资专户申请和发放建筑工人工资，未将建筑工人工资按时足额拨付到施工单位在银行开设的工资专用账户。高新区裸露山体生态修复子项目施工单位</w:t>
      </w:r>
      <w:r>
        <w:rPr>
          <w:rFonts w:hint="eastAsia" w:ascii="仿宋_GB2312" w:eastAsia="仿宋_GB2312"/>
          <w:sz w:val="28"/>
          <w:szCs w:val="28"/>
        </w:rPr>
        <w:t>四川瑞云建设工程有限公司（以下简称“瑞云公司”）</w:t>
      </w:r>
      <w:r>
        <w:rPr>
          <w:rFonts w:hint="eastAsia" w:ascii="仿宋_GB2312" w:hAnsi="Times New Roman" w:eastAsia="仿宋_GB2312" w:cs="Times New Roman"/>
          <w:sz w:val="28"/>
          <w:szCs w:val="28"/>
        </w:rPr>
        <w:t>未开设建筑工人工资专用账户，雁南湖水环境治理及湿地修复子项目施工单位</w:t>
      </w:r>
      <w:r>
        <w:rPr>
          <w:rFonts w:hint="eastAsia" w:ascii="仿宋_GB2312" w:eastAsia="仿宋_GB2312"/>
          <w:sz w:val="28"/>
          <w:szCs w:val="28"/>
        </w:rPr>
        <w:t>成都建工集团有限公司（以下简称“成都建工”）</w:t>
      </w:r>
      <w:r>
        <w:rPr>
          <w:rFonts w:hint="eastAsia" w:ascii="仿宋_GB2312" w:hAnsi="Times New Roman" w:eastAsia="仿宋_GB2312" w:cs="Times New Roman"/>
          <w:sz w:val="28"/>
          <w:szCs w:val="28"/>
        </w:rPr>
        <w:t>、</w:t>
      </w:r>
      <w:r>
        <w:rPr>
          <w:rFonts w:hint="eastAsia" w:ascii="仿宋_GB2312" w:eastAsia="仿宋_GB2312"/>
          <w:sz w:val="28"/>
          <w:szCs w:val="28"/>
        </w:rPr>
        <w:t>四川中科水务集团有限公司（以下简称“中科水务”）</w:t>
      </w:r>
      <w:r>
        <w:rPr>
          <w:rFonts w:hint="eastAsia" w:ascii="仿宋_GB2312" w:hAnsi="Times New Roman" w:eastAsia="仿宋_GB2312" w:cs="Times New Roman"/>
          <w:sz w:val="28"/>
          <w:szCs w:val="28"/>
        </w:rPr>
        <w:t>联合体虽开设了建筑工人工资专用账户，但未按照工程进度向业主单位申报民工工资，该账户实际未使用。</w:t>
      </w:r>
    </w:p>
    <w:p>
      <w:pPr>
        <w:pStyle w:val="41"/>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以上行为不符合四川省住房和城乡建设厅</w:t>
      </w:r>
      <w:r>
        <w:rPr>
          <w:rFonts w:hint="eastAsia" w:ascii="Times New Roman" w:hAnsi="Times New Roman" w:eastAsia="仿宋_GB2312" w:cs="Times New Roman"/>
          <w:sz w:val="28"/>
          <w:szCs w:val="28"/>
        </w:rPr>
        <w:t xml:space="preserve"> </w:t>
      </w:r>
      <w:r>
        <w:rPr>
          <w:rFonts w:hint="eastAsia" w:ascii="仿宋_GB2312" w:hAnsi="Times New Roman" w:eastAsia="仿宋_GB2312" w:cs="Times New Roman"/>
          <w:sz w:val="28"/>
          <w:szCs w:val="28"/>
        </w:rPr>
        <w:t>四川省人力资源和社会保障厅《关于贯彻落实建筑工人实名制管理办法（试行）的通知》（川建建发</w:t>
      </w:r>
      <w:r>
        <w:rPr>
          <w:rFonts w:ascii="仿宋_GB2312" w:hAnsi="Times New Roman" w:eastAsia="仿宋_GB2312" w:cs="Times New Roman"/>
          <w:sz w:val="28"/>
          <w:szCs w:val="28"/>
        </w:rPr>
        <w:t>〔</w:t>
      </w:r>
      <w:r>
        <w:rPr>
          <w:rFonts w:ascii="Times New Roman" w:hAnsi="Times New Roman" w:eastAsia="仿宋_GB2312" w:cs="Times New Roman"/>
          <w:sz w:val="28"/>
          <w:szCs w:val="28"/>
        </w:rPr>
        <w:t>2019</w:t>
      </w:r>
      <w:r>
        <w:rPr>
          <w:rFonts w:ascii="仿宋_GB2312" w:hAnsi="Times New Roman" w:eastAsia="仿宋_GB2312" w:cs="Times New Roman"/>
          <w:sz w:val="28"/>
          <w:szCs w:val="28"/>
        </w:rPr>
        <w:t>〕</w:t>
      </w:r>
      <w:r>
        <w:rPr>
          <w:rFonts w:hint="eastAsia" w:ascii="Times New Roman" w:hAnsi="Times New Roman" w:eastAsia="仿宋_GB2312" w:cs="Times New Roman"/>
          <w:sz w:val="28"/>
          <w:szCs w:val="28"/>
        </w:rPr>
        <w:t>167</w:t>
      </w:r>
      <w:r>
        <w:rPr>
          <w:rFonts w:hint="eastAsia" w:ascii="仿宋_GB2312" w:hAnsi="Times New Roman" w:eastAsia="仿宋_GB2312" w:cs="Times New Roman"/>
          <w:sz w:val="28"/>
          <w:szCs w:val="28"/>
        </w:rPr>
        <w:t>号）“（二）项目建设单位要在招标文件和工程承包合同、监理合同中明确实施建筑工人实名制管理的要求，将建筑工人实名制管理所需费用列入工程造价，检查督促建筑企业落实建筑工人实名制管理的各项措施，按照工程进度和工程承包合同约定的人工费比例或人工费数额，将建筑工人工资按时足额拨付到总承包企业在银行开设的工资专用账户</w:t>
      </w:r>
      <w:r>
        <w:rPr>
          <w:rFonts w:ascii="Times New Roman" w:hAnsi="Times New Roman" w:eastAsia="仿宋_GB2312" w:cs="Times New Roman"/>
          <w:sz w:val="28"/>
          <w:szCs w:val="28"/>
        </w:rPr>
        <w:t>……</w:t>
      </w:r>
      <w:r>
        <w:rPr>
          <w:rFonts w:hint="eastAsia" w:ascii="仿宋_GB2312" w:hAnsi="Times New Roman" w:eastAsia="仿宋_GB2312" w:cs="Times New Roman"/>
          <w:sz w:val="28"/>
          <w:szCs w:val="28"/>
        </w:rPr>
        <w:t>总承包企业等建筑企业要按四川省人民政府办公厅《关于全面治理拖欠农民工工资问题的实施意见》（川办发〔</w:t>
      </w:r>
      <w:r>
        <w:rPr>
          <w:rFonts w:hint="eastAsia" w:ascii="Times New Roman" w:hAnsi="Times New Roman" w:eastAsia="仿宋_GB2312" w:cs="Times New Roman"/>
          <w:sz w:val="28"/>
          <w:szCs w:val="28"/>
        </w:rPr>
        <w:t>2016</w:t>
      </w:r>
      <w:r>
        <w:rPr>
          <w:rFonts w:hint="eastAsia" w:ascii="仿宋_GB2312" w:hAnsi="Times New Roman" w:eastAsia="仿宋_GB2312" w:cs="Times New Roman"/>
          <w:sz w:val="28"/>
          <w:szCs w:val="28"/>
        </w:rPr>
        <w:t>〕</w:t>
      </w:r>
      <w:r>
        <w:rPr>
          <w:rFonts w:hint="eastAsia" w:ascii="Times New Roman" w:hAnsi="Times New Roman" w:eastAsia="仿宋_GB2312" w:cs="Times New Roman"/>
          <w:sz w:val="28"/>
          <w:szCs w:val="28"/>
        </w:rPr>
        <w:t>63</w:t>
      </w:r>
      <w:r>
        <w:rPr>
          <w:rFonts w:hint="eastAsia" w:ascii="仿宋_GB2312" w:hAnsi="Times New Roman" w:eastAsia="仿宋_GB2312" w:cs="Times New Roman"/>
          <w:sz w:val="28"/>
          <w:szCs w:val="28"/>
        </w:rPr>
        <w:t>号）规定和劳动合同约定，通过建筑工人工资专用账户按月足额将工资直接发放给建筑工人”和资阳市住房和城乡建设局《转发四川省住房和城乡建设厅关于推行建筑工人实名制管理工作的通知》（资住建发</w:t>
      </w:r>
      <w:r>
        <w:rPr>
          <w:rFonts w:ascii="仿宋_GB2312" w:hAnsi="Times New Roman" w:eastAsia="仿宋_GB2312" w:cs="Times New Roman"/>
          <w:sz w:val="28"/>
          <w:szCs w:val="28"/>
        </w:rPr>
        <w:t>〔</w:t>
      </w:r>
      <w:r>
        <w:rPr>
          <w:rFonts w:ascii="Times New Roman" w:hAnsi="Times New Roman" w:eastAsia="仿宋_GB2312" w:cs="Times New Roman"/>
          <w:sz w:val="28"/>
          <w:szCs w:val="28"/>
        </w:rPr>
        <w:t>201</w:t>
      </w:r>
      <w:r>
        <w:rPr>
          <w:rFonts w:hint="eastAsia" w:ascii="Times New Roman" w:hAnsi="Times New Roman" w:eastAsia="仿宋_GB2312" w:cs="Times New Roman"/>
          <w:sz w:val="28"/>
          <w:szCs w:val="28"/>
        </w:rPr>
        <w:t>8</w:t>
      </w:r>
      <w:r>
        <w:rPr>
          <w:rFonts w:ascii="仿宋_GB2312" w:hAnsi="Times New Roman" w:eastAsia="仿宋_GB2312" w:cs="Times New Roman"/>
          <w:sz w:val="28"/>
          <w:szCs w:val="28"/>
        </w:rPr>
        <w:t>〕</w:t>
      </w:r>
      <w:r>
        <w:rPr>
          <w:rFonts w:hint="eastAsia" w:ascii="Times New Roman" w:hAnsi="Times New Roman" w:eastAsia="仿宋_GB2312" w:cs="Times New Roman"/>
          <w:sz w:val="28"/>
          <w:szCs w:val="28"/>
        </w:rPr>
        <w:t>121</w:t>
      </w:r>
      <w:r>
        <w:rPr>
          <w:rFonts w:hint="eastAsia" w:ascii="仿宋_GB2312" w:hAnsi="Times New Roman" w:eastAsia="仿宋_GB2312" w:cs="Times New Roman"/>
          <w:sz w:val="28"/>
          <w:szCs w:val="28"/>
        </w:rPr>
        <w:t>号）第三条第（一）款“项目开工前，应将银行出具的开设农民工工资专用账户证明等相关资料通过省建设厅实名制管理平台报建设行政主管部门备案。项目建设单位应于每月</w:t>
      </w:r>
      <w:r>
        <w:rPr>
          <w:rFonts w:hint="eastAsia" w:ascii="Times New Roman" w:hAnsi="Times New Roman" w:eastAsia="仿宋_GB2312" w:cs="Times New Roman"/>
          <w:sz w:val="28"/>
          <w:szCs w:val="28"/>
        </w:rPr>
        <w:t>30</w:t>
      </w:r>
      <w:r>
        <w:rPr>
          <w:rFonts w:hint="eastAsia" w:ascii="仿宋_GB2312" w:hAnsi="Times New Roman" w:eastAsia="仿宋_GB2312" w:cs="Times New Roman"/>
          <w:sz w:val="28"/>
          <w:szCs w:val="28"/>
        </w:rPr>
        <w:t>日前拨付到总承包企业开设的农民工工资专户上，由银行通过专户和工资卡按月代发农民工工资。（二）施工总承包企业应在四川省建设厅网（</w:t>
      </w:r>
      <w:r>
        <w:rPr>
          <w:rFonts w:hint="eastAsia" w:ascii="Times New Roman" w:hAnsi="Times New Roman" w:eastAsia="仿宋_GB2312" w:cs="Times New Roman"/>
          <w:sz w:val="28"/>
          <w:szCs w:val="28"/>
        </w:rPr>
        <w:t>www.scjst.gov.cn)</w:t>
      </w:r>
      <w:r>
        <w:rPr>
          <w:rFonts w:hint="eastAsia" w:ascii="仿宋_GB2312" w:hAnsi="Times New Roman" w:eastAsia="仿宋_GB2312" w:cs="Times New Roman"/>
          <w:sz w:val="28"/>
          <w:szCs w:val="28"/>
        </w:rPr>
        <w:t>通过《建筑工人实名制管理平台》… 公示结束并经总承包企业和农民工本人签章后确认，报建设单位和监理单位备案，同时交由本项目专户所在银行通过工资卡发放”的规定。</w:t>
      </w:r>
    </w:p>
    <w:p>
      <w:pPr>
        <w:pStyle w:val="42"/>
        <w:keepNext w:val="0"/>
        <w:keepLines w:val="0"/>
        <w:pageBreakBefore w:val="0"/>
        <w:kinsoku/>
        <w:wordWrap/>
        <w:overflowPunct/>
        <w:topLinePunct w:val="0"/>
        <w:autoSpaceDE/>
        <w:autoSpaceDN/>
        <w:bidi w:val="0"/>
        <w:spacing w:line="400" w:lineRule="exact"/>
        <w:ind w:firstLine="48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项目办应督促资阳高新管委会</w:t>
      </w:r>
      <w:r>
        <w:rPr>
          <w:rFonts w:hint="eastAsia" w:ascii="仿宋_GB2312" w:eastAsia="仿宋_GB2312" w:cs="Times New Roman"/>
          <w:sz w:val="28"/>
          <w:szCs w:val="28"/>
        </w:rPr>
        <w:t>对此进行整改</w:t>
      </w:r>
      <w:r>
        <w:rPr>
          <w:rFonts w:hint="eastAsia" w:ascii="仿宋_GB2312" w:hAnsi="Times New Roman" w:eastAsia="仿宋_GB2312" w:cs="Times New Roman"/>
          <w:sz w:val="28"/>
          <w:szCs w:val="28"/>
        </w:rPr>
        <w:t>，严格执行国家建筑工人实名制管理有关政策，保障建筑工人合法权益，杜绝类似问题再次发生。</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outlineLvl w:val="2"/>
        <w:rPr>
          <w:rFonts w:ascii="Times New Roman" w:hAnsi="Times New Roman" w:eastAsia="仿宋_GB2312" w:cs="Times New Roman"/>
          <w:b/>
          <w:bCs/>
          <w:color w:val="FF0000"/>
          <w:sz w:val="28"/>
          <w:szCs w:val="28"/>
        </w:rPr>
      </w:pPr>
      <w:r>
        <w:rPr>
          <w:rFonts w:ascii="Times New Roman" w:hAnsi="Times New Roman" w:eastAsia="仿宋_GB2312" w:cs="Times New Roman"/>
          <w:b/>
          <w:bCs/>
          <w:color w:val="FF0000"/>
          <w:sz w:val="28"/>
          <w:szCs w:val="28"/>
        </w:rPr>
        <w:t xml:space="preserve"> </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outlineLvl w:val="2"/>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6. </w:t>
      </w:r>
      <w:r>
        <w:rPr>
          <w:rFonts w:ascii="仿宋_GB2312" w:hAnsi="Times New Roman" w:eastAsia="仿宋_GB2312" w:cs="Times New Roman"/>
          <w:b/>
          <w:bCs/>
          <w:kern w:val="0"/>
          <w:sz w:val="28"/>
          <w:szCs w:val="28"/>
        </w:rPr>
        <w:t>业主单位监管不力</w:t>
      </w:r>
      <w:r>
        <w:rPr>
          <w:rFonts w:hint="eastAsia" w:ascii="仿宋_GB2312" w:hAnsi="Times New Roman" w:eastAsia="仿宋_GB2312" w:cs="Times New Roman"/>
          <w:b/>
          <w:bCs/>
          <w:kern w:val="0"/>
          <w:sz w:val="28"/>
          <w:szCs w:val="28"/>
        </w:rPr>
        <w:t>，</w:t>
      </w:r>
      <w:r>
        <w:rPr>
          <w:rFonts w:hint="eastAsia" w:ascii="仿宋_GB2312" w:hAnsi="Times New Roman" w:eastAsia="仿宋_GB2312" w:cs="Times New Roman"/>
          <w:b/>
          <w:bCs/>
          <w:sz w:val="28"/>
          <w:szCs w:val="28"/>
        </w:rPr>
        <w:t>施工单位违法分包个别工程。</w:t>
      </w:r>
    </w:p>
    <w:p>
      <w:pPr>
        <w:pStyle w:val="41"/>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经审计抽查发现，高新区裸露山体生态修复</w:t>
      </w:r>
      <w:r>
        <w:rPr>
          <w:rFonts w:hint="eastAsia" w:ascii="仿宋_GB2312" w:eastAsia="仿宋_GB2312"/>
          <w:sz w:val="28"/>
          <w:szCs w:val="28"/>
        </w:rPr>
        <w:t>子项目</w:t>
      </w:r>
      <w:r>
        <w:rPr>
          <w:rFonts w:hint="eastAsia" w:ascii="仿宋_GB2312" w:hAnsi="Times New Roman" w:eastAsia="仿宋_GB2312" w:cs="Times New Roman"/>
          <w:sz w:val="28"/>
          <w:szCs w:val="28"/>
        </w:rPr>
        <w:t>施工单位瑞云公司将砖砌排水沟劳务工程分包给个人“吴明高”，且不具备资质，涉及金额</w:t>
      </w:r>
      <w:r>
        <w:rPr>
          <w:rFonts w:hint="eastAsia" w:ascii="Times New Roman" w:hAnsi="Times New Roman" w:eastAsia="仿宋_GB2312" w:cs="Times New Roman"/>
          <w:sz w:val="28"/>
          <w:szCs w:val="28"/>
        </w:rPr>
        <w:t>65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000</w:t>
      </w:r>
      <w:r>
        <w:rPr>
          <w:rFonts w:ascii="Times New Roman" w:hAnsi="Times New Roman" w:eastAsia="仿宋_GB2312" w:cs="Times New Roman"/>
          <w:sz w:val="28"/>
          <w:szCs w:val="28"/>
        </w:rPr>
        <w:t>.00</w:t>
      </w:r>
      <w:r>
        <w:rPr>
          <w:rFonts w:hint="eastAsia" w:ascii="仿宋_GB2312" w:hAnsi="Times New Roman" w:eastAsia="仿宋_GB2312" w:cs="Times New Roman"/>
          <w:sz w:val="28"/>
          <w:szCs w:val="28"/>
        </w:rPr>
        <w:t>元；雁南湖水环境治理及湿地修复子项目施工单位中科水务与资阳市雁江区庆鸿商贸行签订《土石方工程发包合同》，将该项目中的土石方工程分包给资阳市雁江区庆鸿商贸行，合同金额</w:t>
      </w:r>
      <w:r>
        <w:rPr>
          <w:rFonts w:hint="eastAsia" w:ascii="Times New Roman" w:hAnsi="Times New Roman" w:eastAsia="仿宋_GB2312" w:cs="Times New Roman"/>
          <w:sz w:val="28"/>
          <w:szCs w:val="28"/>
        </w:rPr>
        <w:t>535</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000.00</w:t>
      </w:r>
      <w:r>
        <w:rPr>
          <w:rFonts w:hint="eastAsia" w:ascii="仿宋_GB2312" w:hAnsi="Times New Roman" w:eastAsia="仿宋_GB2312" w:cs="Times New Roman"/>
          <w:sz w:val="28"/>
          <w:szCs w:val="28"/>
        </w:rPr>
        <w:t>元，资阳市雁江区庆鸿商贸行经营范围不包含土石方工程且无地基与基础工程专业承包资质，项目业主单位</w:t>
      </w:r>
      <w:r>
        <w:rPr>
          <w:rFonts w:ascii="仿宋_GB2312" w:hAnsi="Times New Roman" w:eastAsia="仿宋_GB2312" w:cs="Times New Roman"/>
          <w:kern w:val="0"/>
          <w:sz w:val="28"/>
          <w:szCs w:val="28"/>
        </w:rPr>
        <w:t>未对上述行为提出异议</w:t>
      </w:r>
      <w:r>
        <w:rPr>
          <w:rFonts w:hint="eastAsia" w:ascii="仿宋_GB2312" w:hAnsi="Times New Roman" w:eastAsia="仿宋_GB2312" w:cs="Times New Roman"/>
          <w:sz w:val="28"/>
          <w:szCs w:val="28"/>
        </w:rPr>
        <w:t>。</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以上行为属于住房和城乡建设部《建筑工程施工发包与承包违法行为认定查处管理办法》（建市规〔</w:t>
      </w:r>
      <w:r>
        <w:rPr>
          <w:rFonts w:hint="eastAsia" w:ascii="Times New Roman" w:hAnsi="Times New Roman" w:eastAsia="仿宋_GB2312" w:cs="Times New Roman"/>
          <w:sz w:val="28"/>
          <w:szCs w:val="28"/>
        </w:rPr>
        <w:t>2019</w:t>
      </w:r>
      <w:r>
        <w:rPr>
          <w:rFonts w:hint="eastAsia" w:ascii="仿宋_GB2312" w:hAnsi="Times New Roman" w:eastAsia="仿宋_GB2312" w:cs="Times New Roman"/>
          <w:sz w:val="28"/>
          <w:szCs w:val="28"/>
        </w:rPr>
        <w:t>〕</w:t>
      </w:r>
      <w:r>
        <w:rPr>
          <w:rFonts w:hint="eastAsia" w:ascii="Times New Roman" w:hAnsi="Times New Roman" w:eastAsia="仿宋_GB2312" w:cs="Times New Roman"/>
          <w:sz w:val="28"/>
          <w:szCs w:val="28"/>
        </w:rPr>
        <w:t>1</w:t>
      </w:r>
      <w:r>
        <w:rPr>
          <w:rFonts w:hint="eastAsia" w:ascii="仿宋_GB2312" w:hAnsi="Times New Roman" w:eastAsia="仿宋_GB2312" w:cs="Times New Roman"/>
          <w:sz w:val="28"/>
          <w:szCs w:val="28"/>
        </w:rPr>
        <w:t>号）第十二条“存在下列情形之一的，属于违法分包：（一）承包单位将其承包的工程分包给个人的；</w:t>
      </w:r>
      <w:r>
        <w:rPr>
          <w:rFonts w:hint="eastAsia" w:ascii="Times New Roman" w:hAnsi="Times New Roman" w:eastAsia="仿宋_GB2312" w:cs="Times New Roman"/>
          <w:sz w:val="28"/>
          <w:szCs w:val="28"/>
        </w:rPr>
        <w:t>(</w:t>
      </w:r>
      <w:r>
        <w:rPr>
          <w:rFonts w:hint="eastAsia" w:ascii="仿宋_GB2312" w:hAnsi="Times New Roman" w:eastAsia="仿宋_GB2312" w:cs="Times New Roman"/>
          <w:sz w:val="28"/>
          <w:szCs w:val="28"/>
        </w:rPr>
        <w:t>二</w:t>
      </w:r>
      <w:r>
        <w:rPr>
          <w:rFonts w:hint="eastAsia" w:ascii="Times New Roman" w:hAnsi="Times New Roman" w:eastAsia="仿宋_GB2312" w:cs="Times New Roman"/>
          <w:sz w:val="28"/>
          <w:szCs w:val="28"/>
        </w:rPr>
        <w:t>)</w:t>
      </w:r>
      <w:r>
        <w:rPr>
          <w:rFonts w:hint="eastAsia" w:ascii="仿宋_GB2312" w:hAnsi="Times New Roman" w:eastAsia="仿宋_GB2312" w:cs="Times New Roman"/>
          <w:sz w:val="28"/>
          <w:szCs w:val="28"/>
        </w:rPr>
        <w:t>施工总承包单位或专业承包单位将工程分包给不具备相应资质单位的</w:t>
      </w:r>
      <w:r>
        <w:rPr>
          <w:rFonts w:ascii="Times New Roman" w:hAnsi="Times New Roman" w:eastAsia="仿宋_GB2312" w:cs="Times New Roman"/>
          <w:sz w:val="28"/>
          <w:szCs w:val="28"/>
        </w:rPr>
        <w:t>……</w:t>
      </w:r>
      <w:r>
        <w:rPr>
          <w:rFonts w:hint="eastAsia" w:ascii="仿宋_GB2312" w:hAnsi="Times New Roman" w:eastAsia="仿宋_GB2312" w:cs="Times New Roman"/>
          <w:sz w:val="28"/>
          <w:szCs w:val="28"/>
        </w:rPr>
        <w:t>”规定的情形，属于违法分包。</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eastAsia="仿宋_GB2312"/>
          <w:sz w:val="28"/>
          <w:szCs w:val="28"/>
        </w:rPr>
      </w:pPr>
      <w:r>
        <w:rPr>
          <w:rFonts w:hint="eastAsia" w:ascii="仿宋_GB2312" w:eastAsia="仿宋_GB2312"/>
          <w:sz w:val="28"/>
          <w:szCs w:val="28"/>
        </w:rPr>
        <w:t>项目办应加强对本项目施工过程的管理和监督，举一反三，全面清理清查项目施工过程中的类似行为，追究相关项目合作单位和人员的责任，保障工程建设质量和资金安全。你办已接受审计意见。</w:t>
      </w:r>
    </w:p>
    <w:p>
      <w:pPr>
        <w:pStyle w:val="43"/>
        <w:keepNext w:val="0"/>
        <w:keepLines w:val="0"/>
        <w:pageBreakBefore w:val="0"/>
        <w:kinsoku/>
        <w:wordWrap/>
        <w:overflowPunct/>
        <w:topLinePunct w:val="0"/>
        <w:autoSpaceDE/>
        <w:autoSpaceDN/>
        <w:bidi w:val="0"/>
        <w:spacing w:line="400" w:lineRule="exact"/>
        <w:ind w:firstLine="562"/>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keepNext w:val="0"/>
        <w:keepLines w:val="0"/>
        <w:pageBreakBefore w:val="0"/>
        <w:kinsoku/>
        <w:wordWrap/>
        <w:overflowPunct/>
        <w:topLinePunct w:val="0"/>
        <w:autoSpaceDE/>
        <w:autoSpaceDN/>
        <w:bidi w:val="0"/>
        <w:spacing w:line="400" w:lineRule="exact"/>
        <w:ind w:firstLine="562" w:firstLineChars="200"/>
        <w:textAlignment w:val="auto"/>
        <w:outlineLvl w:val="3"/>
        <w:rPr>
          <w:b/>
          <w:sz w:val="28"/>
          <w:szCs w:val="28"/>
        </w:rPr>
      </w:pPr>
      <w:r>
        <w:rPr>
          <w:rFonts w:hint="eastAsia" w:ascii="宋体" w:hAnsi="宋体"/>
          <w:b/>
          <w:sz w:val="28"/>
          <w:szCs w:val="28"/>
        </w:rPr>
        <w:t>（二）</w:t>
      </w:r>
      <w:r>
        <w:rPr>
          <w:rFonts w:ascii="宋体" w:hAnsi="宋体"/>
          <w:b/>
          <w:sz w:val="28"/>
          <w:szCs w:val="28"/>
        </w:rPr>
        <w:t>项目管理方面存在的问题</w:t>
      </w:r>
    </w:p>
    <w:p>
      <w:pPr>
        <w:keepNext w:val="0"/>
        <w:keepLines w:val="0"/>
        <w:pageBreakBefore w:val="0"/>
        <w:kinsoku/>
        <w:wordWrap/>
        <w:overflowPunct/>
        <w:topLinePunct w:val="0"/>
        <w:autoSpaceDE/>
        <w:autoSpaceDN/>
        <w:bidi w:val="0"/>
        <w:spacing w:line="400" w:lineRule="exact"/>
        <w:ind w:firstLine="562" w:firstLineChars="200"/>
        <w:textAlignment w:val="auto"/>
        <w:outlineLvl w:val="3"/>
        <w:rPr>
          <w:rFonts w:eastAsia="仿宋_GB2312"/>
          <w:b/>
          <w:sz w:val="28"/>
          <w:szCs w:val="28"/>
        </w:rPr>
      </w:pPr>
      <w:r>
        <w:rPr>
          <w:rFonts w:hint="eastAsia" w:eastAsia="仿宋_GB2312"/>
          <w:b/>
          <w:sz w:val="28"/>
          <w:szCs w:val="28"/>
        </w:rPr>
        <w:t>1.</w:t>
      </w:r>
      <w:r>
        <w:rPr>
          <w:rFonts w:hint="eastAsia" w:ascii="仿宋_GB2312" w:eastAsia="仿宋_GB2312"/>
          <w:b/>
          <w:bCs/>
          <w:sz w:val="28"/>
          <w:szCs w:val="28"/>
        </w:rPr>
        <w:t>项目实施机构履职不到位，</w:t>
      </w:r>
      <w:r>
        <w:rPr>
          <w:rFonts w:hint="eastAsia" w:ascii="仿宋_GB2312" w:eastAsia="仿宋_GB2312"/>
          <w:b/>
          <w:sz w:val="28"/>
          <w:szCs w:val="28"/>
        </w:rPr>
        <w:t>未按合同约定督促</w:t>
      </w:r>
      <w:r>
        <w:rPr>
          <w:rFonts w:hint="eastAsia" w:ascii="仿宋_GB2312" w:eastAsia="仿宋_GB2312"/>
          <w:b/>
          <w:bCs/>
          <w:sz w:val="28"/>
          <w:szCs w:val="28"/>
        </w:rPr>
        <w:t>参建单位</w:t>
      </w:r>
      <w:r>
        <w:rPr>
          <w:rFonts w:hint="eastAsia" w:ascii="仿宋_GB2312" w:eastAsia="仿宋_GB2312"/>
          <w:b/>
          <w:sz w:val="28"/>
          <w:szCs w:val="28"/>
        </w:rPr>
        <w:t>派驻符合要求的人员。</w:t>
      </w:r>
    </w:p>
    <w:p>
      <w:pPr>
        <w:keepNext w:val="0"/>
        <w:keepLines w:val="0"/>
        <w:pageBreakBefore w:val="0"/>
        <w:kinsoku/>
        <w:wordWrap/>
        <w:overflowPunct/>
        <w:topLinePunct w:val="0"/>
        <w:autoSpaceDE/>
        <w:autoSpaceDN/>
        <w:bidi w:val="0"/>
        <w:spacing w:line="400" w:lineRule="exact"/>
        <w:ind w:firstLine="560" w:firstLineChars="200"/>
        <w:textAlignment w:val="auto"/>
        <w:rPr>
          <w:rFonts w:eastAsia="仿宋_GB2312"/>
          <w:sz w:val="28"/>
          <w:szCs w:val="28"/>
        </w:rPr>
      </w:pPr>
      <w:r>
        <w:rPr>
          <w:rFonts w:hint="eastAsia" w:ascii="仿宋_GB2312" w:eastAsia="仿宋_GB2312"/>
          <w:sz w:val="28"/>
          <w:szCs w:val="28"/>
        </w:rPr>
        <w:t>（</w:t>
      </w:r>
      <w:r>
        <w:rPr>
          <w:rFonts w:hint="eastAsia" w:eastAsia="仿宋_GB2312"/>
          <w:sz w:val="28"/>
          <w:szCs w:val="28"/>
        </w:rPr>
        <w:t>1</w:t>
      </w:r>
      <w:r>
        <w:rPr>
          <w:rFonts w:hint="eastAsia" w:ascii="仿宋_GB2312" w:eastAsia="仿宋_GB2312"/>
          <w:sz w:val="28"/>
          <w:szCs w:val="28"/>
        </w:rPr>
        <w:t>）审计组现场查勘发现，</w:t>
      </w:r>
      <w:r>
        <w:rPr>
          <w:rFonts w:ascii="仿宋_GB2312" w:eastAsia="仿宋_GB2312"/>
          <w:sz w:val="28"/>
          <w:szCs w:val="28"/>
        </w:rPr>
        <w:t>雁南湖水环境治理及湿地修复</w:t>
      </w:r>
      <w:r>
        <w:rPr>
          <w:rFonts w:hint="eastAsia" w:ascii="仿宋_GB2312" w:eastAsia="仿宋_GB2312"/>
          <w:sz w:val="28"/>
          <w:szCs w:val="28"/>
        </w:rPr>
        <w:t>项目施工单位成都建工、中科水务联合体和高新区裸露山体生态修复项目施工单位瑞云公司均未按投标文件及合同约定派驻现场管理人员，相关人员变更未经项目实施机构及项目监理单位批准；派驻现场部分施工管理人员</w:t>
      </w:r>
      <w:r>
        <w:rPr>
          <w:rFonts w:hint="eastAsia" w:ascii="仿宋_GB2312" w:eastAsia="仿宋_GB2312"/>
          <w:color w:val="000000"/>
          <w:sz w:val="28"/>
          <w:szCs w:val="28"/>
        </w:rPr>
        <w:t>与相关施工单位未建立社会养老保险关系</w:t>
      </w:r>
      <w:r>
        <w:rPr>
          <w:rFonts w:hint="eastAsia" w:ascii="仿宋_GB2312" w:eastAsia="仿宋_GB2312"/>
          <w:sz w:val="28"/>
          <w:szCs w:val="28"/>
        </w:rPr>
        <w:t>且资质低于投标文件承诺。其中，成都建工派驻的项目经理和中科水务派驻现场的技术负责人不清楚现场管理人员信息及责任分工等情况，不熟悉项目的基本情况，未实质性履行本项目现场管理工作。</w:t>
      </w:r>
    </w:p>
    <w:p>
      <w:pPr>
        <w:keepNext w:val="0"/>
        <w:keepLines w:val="0"/>
        <w:pageBreakBefore w:val="0"/>
        <w:widowControl/>
        <w:kinsoku/>
        <w:wordWrap/>
        <w:overflowPunct/>
        <w:topLinePunct w:val="0"/>
        <w:autoSpaceDE/>
        <w:autoSpaceDN/>
        <w:bidi w:val="0"/>
        <w:spacing w:line="400" w:lineRule="exact"/>
        <w:ind w:firstLine="560" w:firstLineChars="200"/>
        <w:jc w:val="left"/>
        <w:textAlignment w:val="auto"/>
        <w:rPr>
          <w:rFonts w:eastAsia="仿宋_GB2312"/>
          <w:sz w:val="28"/>
          <w:szCs w:val="28"/>
        </w:rPr>
      </w:pPr>
      <w:r>
        <w:rPr>
          <w:rFonts w:hint="eastAsia" w:ascii="仿宋_GB2312" w:eastAsia="仿宋_GB2312"/>
          <w:sz w:val="28"/>
          <w:szCs w:val="28"/>
        </w:rPr>
        <w:t>以上行为不符合财政部</w:t>
      </w:r>
      <w:r>
        <w:rPr>
          <w:rFonts w:hint="eastAsia" w:ascii="仿宋_GB2312" w:eastAsia="仿宋_GB2312"/>
          <w:kern w:val="0"/>
          <w:sz w:val="28"/>
          <w:szCs w:val="28"/>
        </w:rPr>
        <w:t>《行政事业单位内部控制规范（试行）》（财会〔2012〕21号）</w:t>
      </w:r>
      <w:r>
        <w:rPr>
          <w:rFonts w:hint="eastAsia" w:ascii="仿宋_GB2312" w:eastAsia="仿宋_GB2312"/>
          <w:sz w:val="28"/>
          <w:szCs w:val="28"/>
        </w:rPr>
        <w:t>第五十六条“单位应当对合同履行情况实施有效监控。”、《资阳市雁南湖水环境治理及湿地修复项目土建合同》和《资阳高新区裸露山体生态修复工程土建项目合同》第三章</w:t>
      </w:r>
      <w:r>
        <w:rPr>
          <w:rFonts w:hint="eastAsia" w:eastAsia="仿宋_GB2312"/>
          <w:sz w:val="28"/>
          <w:szCs w:val="28"/>
        </w:rPr>
        <w:t xml:space="preserve"> </w:t>
      </w:r>
      <w:r>
        <w:rPr>
          <w:rFonts w:hint="eastAsia" w:ascii="仿宋_GB2312" w:eastAsia="仿宋_GB2312"/>
          <w:sz w:val="28"/>
          <w:szCs w:val="28"/>
        </w:rPr>
        <w:t>合同通用条款“</w:t>
      </w:r>
      <w:r>
        <w:rPr>
          <w:rFonts w:hint="eastAsia" w:eastAsia="仿宋_GB2312"/>
          <w:sz w:val="28"/>
          <w:szCs w:val="28"/>
        </w:rPr>
        <w:t>9.1</w:t>
      </w:r>
      <w:r>
        <w:rPr>
          <w:rFonts w:eastAsia="仿宋_GB2312"/>
          <w:sz w:val="28"/>
          <w:szCs w:val="28"/>
        </w:rPr>
        <w:t xml:space="preserve"> </w:t>
      </w:r>
      <w:r>
        <w:rPr>
          <w:rFonts w:hint="eastAsia" w:ascii="仿宋_GB2312" w:eastAsia="仿宋_GB2312"/>
          <w:sz w:val="28"/>
          <w:szCs w:val="28"/>
        </w:rPr>
        <w:t>承包商应雇用其投标文件中所述的关键人员和设备，或项目监理批准的其它人员和设备以实施本工程。关键人员和设备的替换只有在其资历和性能方面相当或优于原投标文件中所提议的关键人员和设备时，并经项目监理批准方可进行”的规定。</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eastAsia="仿宋_GB2312"/>
          <w:sz w:val="28"/>
          <w:szCs w:val="28"/>
        </w:rPr>
      </w:pPr>
      <w:r>
        <w:rPr>
          <w:rFonts w:hint="eastAsia" w:ascii="仿宋_GB2312" w:hAnsi="Times New Roman" w:eastAsia="仿宋_GB2312" w:cs="Times New Roman"/>
          <w:sz w:val="28"/>
          <w:szCs w:val="28"/>
        </w:rPr>
        <w:t>（</w:t>
      </w:r>
      <w:r>
        <w:rPr>
          <w:rFonts w:hint="eastAsia" w:ascii="Times New Roman" w:hAnsi="Times New Roman" w:eastAsia="仿宋_GB2312" w:cs="Times New Roman"/>
          <w:sz w:val="28"/>
          <w:szCs w:val="28"/>
        </w:rPr>
        <w:t>2</w:t>
      </w:r>
      <w:r>
        <w:rPr>
          <w:rFonts w:hint="eastAsia" w:ascii="仿宋_GB2312" w:hAnsi="Times New Roman" w:eastAsia="仿宋_GB2312" w:cs="Times New Roman"/>
          <w:sz w:val="28"/>
          <w:szCs w:val="28"/>
        </w:rPr>
        <w:t>）审计组现场查勘发现，高新区裸露山体生态修复</w:t>
      </w:r>
      <w:r>
        <w:rPr>
          <w:rFonts w:hint="eastAsia" w:ascii="仿宋_GB2312" w:eastAsia="仿宋_GB2312"/>
          <w:sz w:val="28"/>
          <w:szCs w:val="28"/>
        </w:rPr>
        <w:t>子项目</w:t>
      </w:r>
      <w:r>
        <w:rPr>
          <w:rFonts w:hint="eastAsia" w:ascii="仿宋_GB2312" w:hAnsi="Times New Roman" w:eastAsia="仿宋_GB2312" w:cs="Times New Roman"/>
          <w:sz w:val="28"/>
          <w:szCs w:val="28"/>
        </w:rPr>
        <w:t>监理单位四川省兴旺建设工程项目管理有限公司未按投标文件和合同约定派驻监理人员，并以“乔成明”冒充专业监理工程师陈永，</w:t>
      </w:r>
      <w:r>
        <w:rPr>
          <w:rFonts w:hint="eastAsia" w:ascii="仿宋_GB2312" w:hAnsi="Times New Roman" w:eastAsia="仿宋_GB2312"/>
          <w:sz w:val="28"/>
          <w:szCs w:val="28"/>
        </w:rPr>
        <w:t>项目实施机构</w:t>
      </w:r>
      <w:r>
        <w:rPr>
          <w:rFonts w:hint="eastAsia" w:ascii="仿宋_GB2312" w:hAnsi="Times New Roman" w:eastAsia="仿宋_GB2312" w:cs="Times New Roman"/>
          <w:sz w:val="28"/>
          <w:szCs w:val="28"/>
        </w:rPr>
        <w:t>资阳高新管委会</w:t>
      </w:r>
      <w:r>
        <w:rPr>
          <w:rFonts w:hint="eastAsia" w:ascii="仿宋_GB2312" w:hAnsi="Times New Roman" w:eastAsia="仿宋_GB2312"/>
          <w:sz w:val="28"/>
          <w:szCs w:val="28"/>
        </w:rPr>
        <w:t>未</w:t>
      </w:r>
      <w:r>
        <w:rPr>
          <w:rFonts w:hint="eastAsia" w:ascii="仿宋_GB2312" w:hAnsi="Times New Roman" w:eastAsia="仿宋_GB2312" w:cs="Times New Roman"/>
          <w:sz w:val="28"/>
          <w:szCs w:val="28"/>
        </w:rPr>
        <w:t>对该弄虚作假行为进行处理；</w:t>
      </w:r>
      <w:r>
        <w:rPr>
          <w:rFonts w:hint="eastAsia" w:ascii="仿宋_GB2312" w:eastAsia="仿宋_GB2312"/>
          <w:sz w:val="28"/>
          <w:szCs w:val="28"/>
        </w:rPr>
        <w:t>为高新区裸露山体生态修复、雁南湖水环境治理及湿地修复</w:t>
      </w:r>
      <w:r>
        <w:rPr>
          <w:rFonts w:hint="eastAsia" w:eastAsia="仿宋_GB2312" w:cs="Calibri"/>
          <w:sz w:val="28"/>
          <w:szCs w:val="28"/>
        </w:rPr>
        <w:t>2</w:t>
      </w:r>
      <w:r>
        <w:rPr>
          <w:rFonts w:hint="eastAsia" w:ascii="仿宋_GB2312" w:eastAsia="仿宋_GB2312"/>
          <w:sz w:val="28"/>
          <w:szCs w:val="28"/>
        </w:rPr>
        <w:t>个子项目编制的《监理规划》未设置安全监理工程师，施工现场也未配置安全监理工程师。</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以上行为不符合</w:t>
      </w:r>
      <w:r>
        <w:rPr>
          <w:rFonts w:hint="eastAsia" w:ascii="仿宋_GB2312" w:eastAsia="仿宋_GB2312"/>
          <w:sz w:val="28"/>
          <w:szCs w:val="28"/>
        </w:rPr>
        <w:t>财政部</w:t>
      </w:r>
      <w:r>
        <w:rPr>
          <w:rFonts w:hint="eastAsia" w:ascii="仿宋_GB2312" w:eastAsia="仿宋_GB2312"/>
          <w:kern w:val="0"/>
          <w:sz w:val="28"/>
          <w:szCs w:val="28"/>
        </w:rPr>
        <w:t>《行政事业单位内部控制规范（试行）》（财会〔2012〕21号）</w:t>
      </w:r>
      <w:r>
        <w:rPr>
          <w:rFonts w:hint="eastAsia" w:ascii="仿宋_GB2312" w:eastAsia="仿宋_GB2312"/>
          <w:sz w:val="28"/>
          <w:szCs w:val="28"/>
        </w:rPr>
        <w:t>第五十六条“单位应当对合同履行情况实施有效监控。”和</w:t>
      </w:r>
      <w:r>
        <w:rPr>
          <w:rFonts w:hint="eastAsia" w:ascii="仿宋_GB2312" w:hAnsi="Times New Roman" w:eastAsia="仿宋_GB2312" w:cs="Times New Roman"/>
          <w:sz w:val="28"/>
          <w:szCs w:val="28"/>
        </w:rPr>
        <w:t>上述项目《建设工程监理合同》通用条款“第</w:t>
      </w:r>
      <w:r>
        <w:rPr>
          <w:rFonts w:ascii="Times New Roman" w:hAnsi="Times New Roman" w:eastAsia="仿宋_GB2312" w:cs="Times New Roman"/>
          <w:sz w:val="28"/>
          <w:szCs w:val="28"/>
        </w:rPr>
        <w:t xml:space="preserve">2.3.3 </w:t>
      </w:r>
      <w:r>
        <w:rPr>
          <w:rFonts w:hint="eastAsia" w:ascii="仿宋_GB2312" w:hAnsi="Times New Roman" w:eastAsia="仿宋_GB2312" w:cs="Times New Roman"/>
          <w:sz w:val="28"/>
          <w:szCs w:val="28"/>
        </w:rPr>
        <w:t>监理人可根据工程进展和工作需要调整项目监理人人员。监理人更换总监理工程师时，应提前</w:t>
      </w:r>
      <w:r>
        <w:rPr>
          <w:rFonts w:ascii="Times New Roman" w:hAnsi="Times New Roman" w:eastAsia="仿宋_GB2312" w:cs="Times New Roman"/>
          <w:sz w:val="28"/>
          <w:szCs w:val="28"/>
        </w:rPr>
        <w:t>7</w:t>
      </w:r>
      <w:r>
        <w:rPr>
          <w:rFonts w:ascii="仿宋_GB2312" w:hAnsi="Times New Roman" w:eastAsia="仿宋_GB2312" w:cs="Times New Roman"/>
          <w:sz w:val="28"/>
          <w:szCs w:val="28"/>
        </w:rPr>
        <w:t>天向委托人书面报告，经委托人同意后方可更换；监理人更换项目监理人其他监理人员，应以相当资格与能力的人员替换，并通知委托人</w:t>
      </w:r>
      <w:r>
        <w:rPr>
          <w:rFonts w:hint="eastAsia" w:ascii="仿宋_GB2312" w:hAnsi="Times New Roman" w:eastAsia="仿宋_GB2312" w:cs="Times New Roman"/>
          <w:sz w:val="28"/>
          <w:szCs w:val="28"/>
        </w:rPr>
        <w:t>”和第三部分专用条件“</w:t>
      </w:r>
      <w:r>
        <w:rPr>
          <w:rFonts w:hint="eastAsia" w:ascii="Times New Roman" w:hAnsi="Times New Roman" w:eastAsia="仿宋_GB2312" w:cs="Times New Roman"/>
          <w:sz w:val="28"/>
          <w:szCs w:val="28"/>
        </w:rPr>
        <w:t xml:space="preserve">2.3.1 </w:t>
      </w:r>
      <w:r>
        <w:rPr>
          <w:rFonts w:ascii="Times New Roman" w:hAnsi="Times New Roman" w:eastAsia="仿宋_GB2312" w:cs="Times New Roman"/>
          <w:sz w:val="28"/>
          <w:szCs w:val="28"/>
        </w:rPr>
        <w:t xml:space="preserve"> </w:t>
      </w:r>
      <w:r>
        <w:rPr>
          <w:rFonts w:hint="eastAsia" w:ascii="仿宋" w:hAnsi="仿宋" w:eastAsia="仿宋" w:cs="Times New Roman"/>
          <w:sz w:val="28"/>
          <w:szCs w:val="28"/>
        </w:rPr>
        <w:t>…</w:t>
      </w:r>
      <w:r>
        <w:rPr>
          <w:rFonts w:hint="eastAsia" w:ascii="仿宋_GB2312" w:hAnsi="Times New Roman" w:eastAsia="仿宋_GB2312" w:cs="Times New Roman"/>
          <w:sz w:val="28"/>
          <w:szCs w:val="28"/>
        </w:rPr>
        <w:t>监理机构的监理人员应由总监理工程师、专业监理工程师、安全监理工程师和监理员组成</w:t>
      </w:r>
      <w:r>
        <w:rPr>
          <w:rFonts w:hint="eastAsia" w:ascii="微软雅黑" w:hAnsi="微软雅黑" w:eastAsia="微软雅黑"/>
          <w:sz w:val="28"/>
          <w:szCs w:val="28"/>
        </w:rPr>
        <w:t>…</w:t>
      </w:r>
      <w:r>
        <w:rPr>
          <w:rFonts w:hint="eastAsia" w:ascii="仿宋_GB2312" w:hAnsi="Times New Roman" w:eastAsia="仿宋_GB2312" w:cs="Times New Roman"/>
          <w:sz w:val="28"/>
          <w:szCs w:val="28"/>
        </w:rPr>
        <w:t>”的规定。</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w:t>
      </w:r>
      <w:r>
        <w:rPr>
          <w:rFonts w:hint="eastAsia" w:ascii="Times New Roman" w:hAnsi="Times New Roman" w:eastAsia="仿宋_GB2312" w:cs="Times New Roman"/>
          <w:sz w:val="28"/>
          <w:szCs w:val="28"/>
        </w:rPr>
        <w:t>1</w:t>
      </w:r>
      <w:r>
        <w:rPr>
          <w:rFonts w:hint="eastAsia" w:ascii="仿宋_GB2312" w:hAnsi="Times New Roman" w:eastAsia="仿宋_GB2312" w:cs="Times New Roman"/>
          <w:sz w:val="28"/>
          <w:szCs w:val="28"/>
        </w:rPr>
        <w:t>）、（</w:t>
      </w:r>
      <w:r>
        <w:rPr>
          <w:rFonts w:hint="eastAsia" w:ascii="Times New Roman" w:hAnsi="Times New Roman" w:eastAsia="仿宋_GB2312" w:cs="Times New Roman"/>
          <w:sz w:val="28"/>
          <w:szCs w:val="28"/>
        </w:rPr>
        <w:t>2</w:t>
      </w:r>
      <w:r>
        <w:rPr>
          <w:rFonts w:hint="eastAsia" w:ascii="仿宋_GB2312" w:hAnsi="Times New Roman" w:eastAsia="仿宋_GB2312" w:cs="Times New Roman"/>
          <w:sz w:val="28"/>
          <w:szCs w:val="28"/>
        </w:rPr>
        <w:t>）问题，项目办</w:t>
      </w:r>
      <w:r>
        <w:rPr>
          <w:rFonts w:hint="eastAsia" w:ascii="仿宋_GB2312" w:eastAsia="仿宋_GB2312" w:cs="Times New Roman"/>
          <w:sz w:val="28"/>
          <w:szCs w:val="28"/>
        </w:rPr>
        <w:t>应</w:t>
      </w:r>
      <w:r>
        <w:rPr>
          <w:rFonts w:hint="eastAsia" w:ascii="仿宋_GB2312" w:hAnsi="Times New Roman" w:eastAsia="仿宋_GB2312" w:cs="Times New Roman"/>
          <w:sz w:val="28"/>
          <w:szCs w:val="28"/>
        </w:rPr>
        <w:t>督促资阳高新管委会</w:t>
      </w:r>
      <w:r>
        <w:rPr>
          <w:rFonts w:hint="eastAsia" w:ascii="仿宋_GB2312" w:eastAsia="仿宋_GB2312" w:cs="Times New Roman"/>
          <w:sz w:val="28"/>
          <w:szCs w:val="28"/>
        </w:rPr>
        <w:t>进行整改</w:t>
      </w:r>
      <w:r>
        <w:rPr>
          <w:rFonts w:hint="eastAsia" w:ascii="仿宋_GB2312" w:hAnsi="Times New Roman" w:eastAsia="仿宋_GB2312" w:cs="Times New Roman"/>
          <w:sz w:val="28"/>
          <w:szCs w:val="28"/>
        </w:rPr>
        <w:t>，</w:t>
      </w:r>
      <w:r>
        <w:rPr>
          <w:rFonts w:hint="eastAsia" w:ascii="仿宋_GB2312" w:eastAsia="仿宋_GB2312"/>
          <w:sz w:val="28"/>
          <w:szCs w:val="28"/>
        </w:rPr>
        <w:t>加强项目管理和监督检查，督促参建单位严格</w:t>
      </w:r>
      <w:r>
        <w:rPr>
          <w:rFonts w:hint="eastAsia" w:ascii="仿宋_GB2312" w:eastAsia="仿宋_GB2312"/>
          <w:kern w:val="0"/>
          <w:sz w:val="28"/>
          <w:szCs w:val="28"/>
        </w:rPr>
        <w:t>履行投标文件和合同约定的责任义务，</w:t>
      </w:r>
      <w:r>
        <w:rPr>
          <w:rFonts w:hint="eastAsia" w:ascii="仿宋_GB2312" w:hAnsi="Times New Roman" w:eastAsia="仿宋_GB2312" w:cs="Times New Roman"/>
          <w:sz w:val="28"/>
          <w:szCs w:val="28"/>
        </w:rPr>
        <w:t>追究上述单位违约责任，</w:t>
      </w:r>
      <w:r>
        <w:rPr>
          <w:rFonts w:hint="eastAsia" w:ascii="仿宋_GB2312" w:eastAsia="仿宋_GB2312"/>
          <w:sz w:val="28"/>
          <w:szCs w:val="28"/>
        </w:rPr>
        <w:t>保障项目质量，</w:t>
      </w:r>
      <w:r>
        <w:rPr>
          <w:rFonts w:hint="eastAsia" w:ascii="仿宋_GB2312" w:hAnsi="Times New Roman" w:eastAsia="仿宋_GB2312" w:cs="Times New Roman"/>
          <w:sz w:val="28"/>
          <w:szCs w:val="28"/>
        </w:rPr>
        <w:t>杜绝类似问题再次发生。</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2"/>
        <w:keepNext w:val="0"/>
        <w:keepLines w:val="0"/>
        <w:pageBreakBefore w:val="0"/>
        <w:kinsoku/>
        <w:wordWrap/>
        <w:overflowPunct/>
        <w:topLinePunct w:val="0"/>
        <w:autoSpaceDE/>
        <w:autoSpaceDN/>
        <w:bidi w:val="0"/>
        <w:spacing w:line="400" w:lineRule="exact"/>
        <w:ind w:firstLine="562" w:firstLineChars="200"/>
        <w:textAlignment w:val="auto"/>
        <w:outlineLvl w:val="3"/>
        <w:rPr>
          <w:rFonts w:eastAsia="仿宋_GB2312"/>
          <w:b/>
          <w:sz w:val="28"/>
          <w:szCs w:val="28"/>
        </w:rPr>
      </w:pPr>
      <w:r>
        <w:rPr>
          <w:rFonts w:hint="eastAsia" w:eastAsia="仿宋_GB2312"/>
          <w:b/>
          <w:bCs/>
          <w:sz w:val="28"/>
          <w:szCs w:val="28"/>
        </w:rPr>
        <w:t>2</w:t>
      </w:r>
      <w:r>
        <w:rPr>
          <w:rFonts w:hint="eastAsia" w:ascii="仿宋_GB2312" w:eastAsia="仿宋_GB2312"/>
          <w:b/>
          <w:bCs/>
          <w:sz w:val="28"/>
          <w:szCs w:val="28"/>
        </w:rPr>
        <w:t>．未督促</w:t>
      </w:r>
      <w:r>
        <w:rPr>
          <w:rFonts w:hint="eastAsia" w:ascii="仿宋_GB2312" w:eastAsia="仿宋_GB2312"/>
          <w:b/>
          <w:bCs/>
          <w:kern w:val="0"/>
          <w:sz w:val="28"/>
          <w:szCs w:val="28"/>
        </w:rPr>
        <w:t>合同当事人按照合同约定</w:t>
      </w:r>
      <w:r>
        <w:rPr>
          <w:rFonts w:hint="eastAsia" w:ascii="仿宋_GB2312" w:eastAsia="仿宋_GB2312"/>
          <w:b/>
          <w:bCs/>
          <w:sz w:val="28"/>
          <w:szCs w:val="28"/>
        </w:rPr>
        <w:t>购买建筑工程保险</w:t>
      </w:r>
      <w:r>
        <w:rPr>
          <w:rFonts w:hint="eastAsia" w:ascii="仿宋_GB2312" w:eastAsia="仿宋_GB2312"/>
          <w:b/>
          <w:sz w:val="28"/>
          <w:szCs w:val="28"/>
        </w:rPr>
        <w:t>。</w:t>
      </w:r>
    </w:p>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eastAsia="仿宋_GB2312"/>
          <w:sz w:val="28"/>
          <w:szCs w:val="28"/>
        </w:rPr>
      </w:pPr>
      <w:r>
        <w:rPr>
          <w:rFonts w:hint="eastAsia" w:ascii="仿宋_GB2312" w:eastAsia="仿宋_GB2312"/>
          <w:sz w:val="28"/>
          <w:szCs w:val="28"/>
        </w:rPr>
        <w:t>项目实施机构资阳高新管委会未督促高新区裸露山体生态修复、雁南湖水环境治理及湿地修复</w:t>
      </w:r>
      <w:r>
        <w:rPr>
          <w:rFonts w:hint="eastAsia" w:eastAsia="仿宋_GB2312"/>
          <w:sz w:val="28"/>
          <w:szCs w:val="28"/>
        </w:rPr>
        <w:t>2</w:t>
      </w:r>
      <w:r>
        <w:rPr>
          <w:rFonts w:hint="eastAsia" w:ascii="仿宋_GB2312" w:eastAsia="仿宋_GB2312"/>
          <w:sz w:val="28"/>
          <w:szCs w:val="28"/>
        </w:rPr>
        <w:t>个子项目施工单位按合同约定购买建筑工程保险，该合同总价中已包括相关保险费用，支付进度款时也未向施工单位扣除保险费用；资阳高新管委会也未自行购买保险，导致工程施工处于无保险状态。高新区裸露山体生态修复子项目施工单位瑞云公司仅购买“物质损失保险、第三者责任险”且保险单均已于</w:t>
      </w:r>
      <w:r>
        <w:rPr>
          <w:rFonts w:hint="eastAsia" w:eastAsia="仿宋_GB2312"/>
          <w:sz w:val="28"/>
          <w:szCs w:val="28"/>
        </w:rPr>
        <w:t>2021</w:t>
      </w:r>
      <w:r>
        <w:rPr>
          <w:rFonts w:hint="eastAsia" w:ascii="仿宋_GB2312" w:eastAsia="仿宋_GB2312"/>
          <w:sz w:val="28"/>
          <w:szCs w:val="28"/>
        </w:rPr>
        <w:t>年</w:t>
      </w:r>
      <w:r>
        <w:rPr>
          <w:rFonts w:hint="eastAsia" w:eastAsia="仿宋_GB2312"/>
          <w:sz w:val="28"/>
          <w:szCs w:val="28"/>
        </w:rPr>
        <w:t>12</w:t>
      </w:r>
      <w:r>
        <w:rPr>
          <w:rFonts w:hint="eastAsia" w:ascii="仿宋_GB2312" w:eastAsia="仿宋_GB2312"/>
          <w:sz w:val="28"/>
          <w:szCs w:val="28"/>
        </w:rPr>
        <w:t>月</w:t>
      </w:r>
      <w:r>
        <w:rPr>
          <w:rFonts w:hint="eastAsia" w:eastAsia="仿宋_GB2312"/>
          <w:sz w:val="28"/>
          <w:szCs w:val="28"/>
        </w:rPr>
        <w:t>31</w:t>
      </w:r>
      <w:r>
        <w:rPr>
          <w:rFonts w:hint="eastAsia" w:ascii="仿宋_GB2312" w:eastAsia="仿宋_GB2312"/>
          <w:sz w:val="28"/>
          <w:szCs w:val="28"/>
        </w:rPr>
        <w:t>日过期。</w:t>
      </w:r>
    </w:p>
    <w:p>
      <w:pPr>
        <w:keepNext w:val="0"/>
        <w:keepLines w:val="0"/>
        <w:pageBreakBefore w:val="0"/>
        <w:widowControl/>
        <w:kinsoku/>
        <w:wordWrap/>
        <w:overflowPunct/>
        <w:topLinePunct w:val="0"/>
        <w:autoSpaceDE/>
        <w:autoSpaceDN/>
        <w:bidi w:val="0"/>
        <w:spacing w:line="400" w:lineRule="exact"/>
        <w:ind w:firstLine="560" w:firstLineChars="200"/>
        <w:textAlignment w:val="auto"/>
        <w:rPr>
          <w:rFonts w:eastAsia="仿宋_GB2312"/>
          <w:sz w:val="28"/>
          <w:szCs w:val="28"/>
        </w:rPr>
      </w:pPr>
      <w:r>
        <w:rPr>
          <w:rFonts w:hint="eastAsia" w:ascii="仿宋_GB2312" w:eastAsia="仿宋_GB2312"/>
          <w:sz w:val="28"/>
          <w:szCs w:val="28"/>
        </w:rPr>
        <w:t>以上行为不符合《资阳高新区裸露山体生态修复工程土建项目合同》和《资阳市雁南湖水环境治理及湿地修复项目土建合同》</w:t>
      </w:r>
      <w:r>
        <w:rPr>
          <w:rFonts w:ascii="仿宋_GB2312" w:eastAsia="仿宋_GB2312"/>
          <w:sz w:val="28"/>
          <w:szCs w:val="28"/>
        </w:rPr>
        <w:t>第三章</w:t>
      </w:r>
      <w:r>
        <w:rPr>
          <w:rFonts w:eastAsia="仿宋_GB2312"/>
          <w:sz w:val="28"/>
          <w:szCs w:val="28"/>
        </w:rPr>
        <w:t xml:space="preserve"> </w:t>
      </w:r>
      <w:r>
        <w:rPr>
          <w:rFonts w:ascii="仿宋_GB2312" w:eastAsia="仿宋_GB2312"/>
          <w:sz w:val="28"/>
          <w:szCs w:val="28"/>
        </w:rPr>
        <w:t>合同通用条款</w:t>
      </w:r>
      <w:r>
        <w:rPr>
          <w:rFonts w:hint="eastAsia" w:ascii="仿宋_GB2312" w:eastAsia="仿宋_GB2312"/>
          <w:sz w:val="28"/>
          <w:szCs w:val="28"/>
        </w:rPr>
        <w:t>“</w:t>
      </w:r>
      <w:r>
        <w:rPr>
          <w:rFonts w:eastAsia="仿宋_GB2312"/>
          <w:sz w:val="28"/>
          <w:szCs w:val="28"/>
        </w:rPr>
        <w:t>14.1</w:t>
      </w:r>
      <w:r>
        <w:rPr>
          <w:rFonts w:hint="eastAsia" w:eastAsia="仿宋_GB2312"/>
          <w:sz w:val="28"/>
          <w:szCs w:val="28"/>
        </w:rPr>
        <w:t xml:space="preserve"> </w:t>
      </w:r>
      <w:r>
        <w:rPr>
          <w:rFonts w:ascii="仿宋_GB2312" w:eastAsia="仿宋_GB2312"/>
          <w:sz w:val="28"/>
          <w:szCs w:val="28"/>
        </w:rPr>
        <w:t>承包商应以业主和承包商的共同名义，以适当的数额和免赔额对自开工之日起至缺陷责任期结束之日止的合同履行过程中发生的工程、设施、材料、施工机械、财产（除上述财产外）的损失或损害，以及人员伤亡等风险提供保险。为满足本条款要求，承包商应提供下列保险，保险的金额和免赔额应使业主感到满意：（</w:t>
      </w:r>
      <w:r>
        <w:rPr>
          <w:rFonts w:eastAsia="仿宋_GB2312"/>
          <w:sz w:val="28"/>
          <w:szCs w:val="28"/>
        </w:rPr>
        <w:t>1</w:t>
      </w:r>
      <w:r>
        <w:rPr>
          <w:rFonts w:ascii="仿宋_GB2312" w:eastAsia="仿宋_GB2312"/>
          <w:sz w:val="28"/>
          <w:szCs w:val="28"/>
        </w:rPr>
        <w:t>）工程和承包商设备保险；（</w:t>
      </w:r>
      <w:r>
        <w:rPr>
          <w:rFonts w:eastAsia="仿宋_GB2312"/>
          <w:sz w:val="28"/>
          <w:szCs w:val="28"/>
        </w:rPr>
        <w:t>2</w:t>
      </w:r>
      <w:r>
        <w:rPr>
          <w:rFonts w:ascii="仿宋_GB2312" w:eastAsia="仿宋_GB2312"/>
          <w:sz w:val="28"/>
          <w:szCs w:val="28"/>
        </w:rPr>
        <w:t>）人员伤亡和财产损失保险；（</w:t>
      </w:r>
      <w:r>
        <w:rPr>
          <w:rFonts w:eastAsia="仿宋_GB2312"/>
          <w:sz w:val="28"/>
          <w:szCs w:val="28"/>
        </w:rPr>
        <w:t>3</w:t>
      </w:r>
      <w:r>
        <w:rPr>
          <w:rFonts w:ascii="仿宋_GB2312" w:eastAsia="仿宋_GB2312"/>
          <w:sz w:val="28"/>
          <w:szCs w:val="28"/>
        </w:rPr>
        <w:t>）承包商雇佣人员保险；以及（</w:t>
      </w:r>
      <w:r>
        <w:rPr>
          <w:rFonts w:eastAsia="仿宋_GB2312"/>
          <w:sz w:val="28"/>
          <w:szCs w:val="28"/>
        </w:rPr>
        <w:t>4</w:t>
      </w:r>
      <w:r>
        <w:rPr>
          <w:rFonts w:ascii="仿宋_GB2312" w:eastAsia="仿宋_GB2312"/>
          <w:sz w:val="28"/>
          <w:szCs w:val="28"/>
        </w:rPr>
        <w:t>）特殊合同条款中规定的其它险种</w:t>
      </w:r>
      <w:r>
        <w:rPr>
          <w:rFonts w:hint="eastAsia" w:ascii="仿宋_GB2312" w:eastAsia="仿宋_GB2312"/>
          <w:sz w:val="28"/>
          <w:szCs w:val="28"/>
        </w:rPr>
        <w:t>。</w:t>
      </w:r>
      <w:r>
        <w:rPr>
          <w:rFonts w:hint="eastAsia" w:eastAsia="仿宋_GB2312"/>
          <w:sz w:val="28"/>
          <w:szCs w:val="28"/>
        </w:rPr>
        <w:t>1</w:t>
      </w:r>
      <w:r>
        <w:rPr>
          <w:rFonts w:eastAsia="仿宋_GB2312"/>
          <w:sz w:val="28"/>
          <w:szCs w:val="28"/>
        </w:rPr>
        <w:t>4.2</w:t>
      </w:r>
      <w:r>
        <w:rPr>
          <w:rFonts w:hint="eastAsia" w:eastAsia="仿宋_GB2312"/>
          <w:sz w:val="28"/>
          <w:szCs w:val="28"/>
        </w:rPr>
        <w:t xml:space="preserve"> </w:t>
      </w:r>
      <w:r>
        <w:rPr>
          <w:rFonts w:ascii="仿宋_GB2312" w:eastAsia="仿宋_GB2312"/>
          <w:sz w:val="28"/>
          <w:szCs w:val="28"/>
        </w:rPr>
        <w:t>在开工日期十四（</w:t>
      </w:r>
      <w:r>
        <w:rPr>
          <w:rFonts w:eastAsia="仿宋_GB2312"/>
          <w:sz w:val="28"/>
          <w:szCs w:val="28"/>
        </w:rPr>
        <w:t>14</w:t>
      </w:r>
      <w:r>
        <w:rPr>
          <w:rFonts w:ascii="仿宋_GB2312" w:eastAsia="仿宋_GB2312"/>
          <w:sz w:val="28"/>
          <w:szCs w:val="28"/>
        </w:rPr>
        <w:t>）天之前，承包商应向项目监理提交保险单和保险凭证以取得项目监理的批准。所有保险均应以人民币对所发生的损失或损害提供赔偿。</w:t>
      </w:r>
      <w:r>
        <w:rPr>
          <w:rFonts w:eastAsia="仿宋_GB2312"/>
          <w:sz w:val="28"/>
          <w:szCs w:val="28"/>
        </w:rPr>
        <w:t>14.3</w:t>
      </w:r>
      <w:r>
        <w:rPr>
          <w:rFonts w:hint="eastAsia" w:eastAsia="仿宋_GB2312"/>
          <w:sz w:val="28"/>
          <w:szCs w:val="28"/>
        </w:rPr>
        <w:t xml:space="preserve"> </w:t>
      </w:r>
      <w:r>
        <w:rPr>
          <w:rFonts w:ascii="仿宋_GB2312" w:eastAsia="仿宋_GB2312"/>
          <w:sz w:val="28"/>
          <w:szCs w:val="28"/>
        </w:rPr>
        <w:t>如果承包商未能提供所要求的保险单和保险凭证，业主可以办理本应由承包商提供的保险，并从对承包商的应付款项中扣回业主所支付的保险费；如果没有应付款额，则已支付的保险费将成为承包商的到期欠款。</w:t>
      </w:r>
      <w:r>
        <w:rPr>
          <w:rFonts w:eastAsia="仿宋_GB2312"/>
          <w:sz w:val="28"/>
          <w:szCs w:val="28"/>
        </w:rPr>
        <w:t>14.4</w:t>
      </w:r>
      <w:r>
        <w:rPr>
          <w:rFonts w:hint="eastAsia" w:eastAsia="仿宋_GB2312"/>
          <w:sz w:val="28"/>
          <w:szCs w:val="28"/>
        </w:rPr>
        <w:t xml:space="preserve"> </w:t>
      </w:r>
      <w:r>
        <w:rPr>
          <w:rFonts w:ascii="仿宋_GB2312" w:eastAsia="仿宋_GB2312"/>
          <w:sz w:val="28"/>
          <w:szCs w:val="28"/>
        </w:rPr>
        <w:t>未经项目监理批准不得改变保险条款。</w:t>
      </w:r>
      <w:r>
        <w:rPr>
          <w:rFonts w:hint="eastAsia" w:ascii="仿宋_GB2312" w:eastAsia="仿宋_GB2312"/>
          <w:sz w:val="28"/>
          <w:szCs w:val="28"/>
        </w:rPr>
        <w:t>”、第四章</w:t>
      </w:r>
      <w:r>
        <w:rPr>
          <w:rFonts w:hint="eastAsia" w:eastAsia="仿宋_GB2312"/>
          <w:sz w:val="28"/>
          <w:szCs w:val="28"/>
        </w:rPr>
        <w:t xml:space="preserve"> </w:t>
      </w:r>
      <w:r>
        <w:rPr>
          <w:rFonts w:ascii="仿宋_GB2312" w:eastAsia="仿宋_GB2312"/>
          <w:sz w:val="28"/>
          <w:szCs w:val="28"/>
        </w:rPr>
        <w:t>合同专用条款</w:t>
      </w:r>
      <w:r>
        <w:rPr>
          <w:rFonts w:hint="eastAsia" w:ascii="仿宋_GB2312" w:eastAsia="仿宋_GB2312"/>
          <w:sz w:val="28"/>
          <w:szCs w:val="28"/>
        </w:rPr>
        <w:t>“一般合同条款第</w:t>
      </w:r>
      <w:r>
        <w:rPr>
          <w:rFonts w:eastAsia="仿宋_GB2312"/>
          <w:sz w:val="28"/>
          <w:szCs w:val="28"/>
        </w:rPr>
        <w:t>14.1</w:t>
      </w:r>
      <w:r>
        <w:rPr>
          <w:rFonts w:hint="eastAsia" w:ascii="仿宋_GB2312" w:eastAsia="仿宋_GB2312"/>
          <w:sz w:val="28"/>
          <w:szCs w:val="28"/>
        </w:rPr>
        <w:t>款</w:t>
      </w:r>
      <w:r>
        <w:rPr>
          <w:rFonts w:eastAsia="仿宋_GB2312"/>
          <w:sz w:val="28"/>
          <w:szCs w:val="28"/>
        </w:rPr>
        <w:t xml:space="preserve"> </w:t>
      </w:r>
      <w:r>
        <w:rPr>
          <w:rFonts w:ascii="仿宋_GB2312" w:eastAsia="仿宋_GB2312"/>
          <w:sz w:val="28"/>
          <w:szCs w:val="28"/>
        </w:rPr>
        <w:t>其它保险为：一切责任险</w:t>
      </w:r>
      <w:r>
        <w:rPr>
          <w:rFonts w:hint="eastAsia" w:ascii="仿宋_GB2312" w:eastAsia="仿宋_GB2312"/>
          <w:sz w:val="28"/>
          <w:szCs w:val="28"/>
        </w:rPr>
        <w:t>”的约定。</w:t>
      </w:r>
    </w:p>
    <w:p>
      <w:pPr>
        <w:keepNext w:val="0"/>
        <w:keepLines w:val="0"/>
        <w:pageBreakBefore w:val="0"/>
        <w:kinsoku/>
        <w:wordWrap/>
        <w:overflowPunct/>
        <w:topLinePunct w:val="0"/>
        <w:autoSpaceDE/>
        <w:autoSpaceDN/>
        <w:bidi w:val="0"/>
        <w:spacing w:line="400" w:lineRule="exact"/>
        <w:ind w:firstLine="560" w:firstLineChars="200"/>
        <w:textAlignment w:val="auto"/>
        <w:rPr>
          <w:szCs w:val="21"/>
        </w:rPr>
      </w:pPr>
      <w:r>
        <w:rPr>
          <w:rFonts w:hint="eastAsia" w:ascii="仿宋_GB2312" w:eastAsia="仿宋_GB2312"/>
          <w:sz w:val="28"/>
          <w:szCs w:val="28"/>
        </w:rPr>
        <w:t>项目办应督促资阳高新管委会对此进行整改，督促施工单位严格</w:t>
      </w:r>
      <w:r>
        <w:rPr>
          <w:rFonts w:hint="eastAsia" w:ascii="仿宋_GB2312" w:eastAsia="仿宋_GB2312"/>
          <w:kern w:val="0"/>
          <w:sz w:val="28"/>
          <w:szCs w:val="28"/>
        </w:rPr>
        <w:t>履行合同约定的责任和义务，</w:t>
      </w:r>
      <w:r>
        <w:rPr>
          <w:rFonts w:hint="eastAsia" w:ascii="仿宋_GB2312" w:eastAsia="仿宋_GB2312"/>
          <w:sz w:val="28"/>
          <w:szCs w:val="28"/>
        </w:rPr>
        <w:t>尽快购买工程相关的保险，今后严格按照国家有关政策执行，杜绝类似问题再次发生。你办已接受审计意见。</w:t>
      </w:r>
    </w:p>
    <w:p>
      <w:pPr>
        <w:pStyle w:val="2"/>
        <w:keepNext w:val="0"/>
        <w:keepLines w:val="0"/>
        <w:pageBreakBefore w:val="0"/>
        <w:kinsoku/>
        <w:wordWrap/>
        <w:overflowPunct/>
        <w:topLinePunct w:val="0"/>
        <w:autoSpaceDE/>
        <w:autoSpaceDN/>
        <w:bidi w:val="0"/>
        <w:spacing w:line="400" w:lineRule="exact"/>
        <w:textAlignment w:val="auto"/>
      </w:pPr>
      <w:r>
        <w:t xml:space="preserve">  </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outlineLvl w:val="3"/>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3.</w:t>
      </w:r>
      <w:r>
        <w:rPr>
          <w:rFonts w:hint="eastAsia" w:ascii="仿宋_GB2312" w:hAnsi="Times New Roman" w:eastAsia="仿宋_GB2312" w:cs="Times New Roman"/>
          <w:b/>
          <w:sz w:val="28"/>
          <w:szCs w:val="28"/>
        </w:rPr>
        <w:t>工程质量</w:t>
      </w:r>
      <w:r>
        <w:rPr>
          <w:rFonts w:hint="eastAsia" w:ascii="仿宋_GB2312" w:hAnsi="Times New Roman" w:eastAsia="仿宋_GB2312" w:cs="Times New Roman"/>
          <w:b/>
          <w:bCs/>
          <w:sz w:val="28"/>
          <w:szCs w:val="28"/>
        </w:rPr>
        <w:t>监管</w:t>
      </w:r>
      <w:r>
        <w:rPr>
          <w:rFonts w:hint="eastAsia" w:ascii="仿宋_GB2312" w:hAnsi="Times New Roman" w:eastAsia="仿宋_GB2312" w:cs="Times New Roman"/>
          <w:b/>
          <w:sz w:val="28"/>
          <w:szCs w:val="28"/>
        </w:rPr>
        <w:t>不力，部分已完工程未达到设计要求。</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审计抽查发现，高新区裸露山体生态修复</w:t>
      </w:r>
      <w:r>
        <w:rPr>
          <w:rFonts w:hint="eastAsia" w:ascii="仿宋_GB2312" w:eastAsia="仿宋_GB2312"/>
          <w:sz w:val="28"/>
          <w:szCs w:val="28"/>
        </w:rPr>
        <w:t>子项目</w:t>
      </w:r>
      <w:r>
        <w:rPr>
          <w:rFonts w:hint="eastAsia" w:ascii="仿宋_GB2312" w:hAnsi="Times New Roman" w:eastAsia="仿宋_GB2312" w:cs="Times New Roman"/>
          <w:sz w:val="28"/>
          <w:szCs w:val="28"/>
        </w:rPr>
        <w:t>宰山社区</w:t>
      </w:r>
      <w:r>
        <w:rPr>
          <w:rFonts w:hint="eastAsia" w:ascii="Times New Roman" w:hAnsi="Times New Roman" w:eastAsia="仿宋_GB2312" w:cs="Times New Roman"/>
          <w:sz w:val="28"/>
          <w:szCs w:val="28"/>
        </w:rPr>
        <w:t>10</w:t>
      </w:r>
      <w:r>
        <w:rPr>
          <w:rFonts w:hint="eastAsia" w:ascii="仿宋_GB2312" w:hAnsi="Times New Roman" w:eastAsia="仿宋_GB2312" w:cs="Times New Roman"/>
          <w:sz w:val="28"/>
          <w:szCs w:val="28"/>
        </w:rPr>
        <w:t>组标段，已施工完成点位存在“部分点位土层脱落、喷土厚度不均匀，未见明显植草，锚钉间距较大，堡坎上部裂缝”等未达到设计要求的情况。</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以上行为不符合《建设工程质量管理条例》第二十八条“施工单位必须按照工程设计图纸和施工技术标准施工，不得擅自修改工程设计，不得偷工减料”的规定。</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eastAsia="仿宋_GB2312"/>
          <w:sz w:val="28"/>
          <w:szCs w:val="28"/>
        </w:rPr>
      </w:pPr>
      <w:r>
        <w:rPr>
          <w:rFonts w:hint="eastAsia" w:ascii="仿宋_GB2312" w:hAnsi="Times New Roman" w:eastAsia="仿宋_GB2312" w:cs="Times New Roman"/>
          <w:sz w:val="28"/>
          <w:szCs w:val="28"/>
        </w:rPr>
        <w:t>项目办</w:t>
      </w:r>
      <w:r>
        <w:rPr>
          <w:rFonts w:hint="eastAsia" w:ascii="仿宋_GB2312" w:eastAsia="仿宋_GB2312" w:cs="Times New Roman"/>
          <w:sz w:val="28"/>
          <w:szCs w:val="28"/>
        </w:rPr>
        <w:t>应</w:t>
      </w:r>
      <w:r>
        <w:rPr>
          <w:rFonts w:hint="eastAsia" w:ascii="仿宋_GB2312" w:hAnsi="Times New Roman" w:eastAsia="仿宋_GB2312" w:cs="Times New Roman"/>
          <w:sz w:val="28"/>
          <w:szCs w:val="28"/>
        </w:rPr>
        <w:t>督促资阳高新管委会</w:t>
      </w:r>
      <w:r>
        <w:rPr>
          <w:rFonts w:hint="eastAsia" w:ascii="仿宋_GB2312" w:eastAsia="仿宋_GB2312" w:cs="Times New Roman"/>
          <w:sz w:val="28"/>
          <w:szCs w:val="28"/>
        </w:rPr>
        <w:t>对此进行整改</w:t>
      </w:r>
      <w:r>
        <w:rPr>
          <w:rFonts w:hint="eastAsia" w:ascii="仿宋_GB2312" w:hAnsi="Times New Roman" w:eastAsia="仿宋_GB2312" w:cs="Times New Roman"/>
          <w:sz w:val="28"/>
          <w:szCs w:val="28"/>
        </w:rPr>
        <w:t>，全面检查本项目工程质量，及时对工程质量不符合标准的情况进行返工、修理，对工程质量严格监督验收，</w:t>
      </w:r>
      <w:r>
        <w:rPr>
          <w:rFonts w:ascii="仿宋_GB2312" w:eastAsia="仿宋_GB2312"/>
          <w:sz w:val="28"/>
          <w:szCs w:val="28"/>
        </w:rPr>
        <w:t>杜绝类似</w:t>
      </w:r>
      <w:r>
        <w:rPr>
          <w:rFonts w:hint="eastAsia" w:ascii="仿宋_GB2312" w:eastAsia="仿宋_GB2312"/>
          <w:sz w:val="28"/>
          <w:szCs w:val="28"/>
        </w:rPr>
        <w:t>问题</w:t>
      </w:r>
      <w:r>
        <w:rPr>
          <w:rFonts w:ascii="仿宋_GB2312" w:eastAsia="仿宋_GB2312"/>
          <w:sz w:val="28"/>
          <w:szCs w:val="28"/>
        </w:rPr>
        <w:t>再次发生。</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eastAsia="仿宋_GB2312"/>
          <w:sz w:val="28"/>
          <w:szCs w:val="28"/>
        </w:rPr>
      </w:pPr>
      <w:r>
        <w:rPr>
          <w:rFonts w:eastAsia="仿宋_GB2312"/>
          <w:sz w:val="28"/>
          <w:szCs w:val="28"/>
        </w:rPr>
        <w:t xml:space="preserve"> </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outlineLvl w:val="3"/>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rPr>
        <w:t>4.</w:t>
      </w:r>
      <w:r>
        <w:rPr>
          <w:rFonts w:hint="eastAsia" w:ascii="仿宋_GB2312" w:hAnsi="Times New Roman" w:eastAsia="仿宋_GB2312" w:cs="Times New Roman"/>
          <w:b/>
          <w:sz w:val="28"/>
          <w:szCs w:val="28"/>
        </w:rPr>
        <w:t>施工过程中未严格履行监督管理职责。</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审计抽查高新区裸露山体生态修复、雁南湖水环境治理及湿地修复</w:t>
      </w:r>
      <w:r>
        <w:rPr>
          <w:rFonts w:hint="eastAsia" w:ascii="Times New Roman" w:hAnsi="Times New Roman" w:eastAsia="仿宋_GB2312" w:cs="Times New Roman"/>
          <w:sz w:val="28"/>
          <w:szCs w:val="28"/>
        </w:rPr>
        <w:t>2</w:t>
      </w:r>
      <w:r>
        <w:rPr>
          <w:rFonts w:hint="eastAsia" w:ascii="仿宋_GB2312" w:hAnsi="Times New Roman" w:eastAsia="仿宋_GB2312" w:cs="Times New Roman"/>
          <w:sz w:val="28"/>
          <w:szCs w:val="28"/>
        </w:rPr>
        <w:t>个</w:t>
      </w:r>
      <w:r>
        <w:rPr>
          <w:rFonts w:hint="eastAsia" w:ascii="仿宋_GB2312" w:eastAsia="仿宋_GB2312"/>
          <w:sz w:val="28"/>
          <w:szCs w:val="28"/>
        </w:rPr>
        <w:t>子</w:t>
      </w:r>
      <w:r>
        <w:rPr>
          <w:rFonts w:hint="eastAsia" w:ascii="仿宋_GB2312" w:hAnsi="Times New Roman" w:eastAsia="仿宋_GB2312" w:cs="Times New Roman"/>
          <w:sz w:val="28"/>
          <w:szCs w:val="28"/>
        </w:rPr>
        <w:t>项目施工过程资料发现，部分资料未按规定签章或未签署日期。其中，高新区裸露山体生态修复</w:t>
      </w:r>
      <w:r>
        <w:rPr>
          <w:rFonts w:hint="eastAsia" w:ascii="仿宋_GB2312" w:eastAsia="仿宋_GB2312"/>
          <w:sz w:val="28"/>
          <w:szCs w:val="28"/>
        </w:rPr>
        <w:t>子项目</w:t>
      </w:r>
      <w:r>
        <w:rPr>
          <w:rFonts w:hint="eastAsia" w:ascii="仿宋_GB2312" w:hAnsi="Times New Roman" w:eastAsia="仿宋_GB2312" w:cs="Times New Roman"/>
          <w:sz w:val="28"/>
          <w:szCs w:val="28"/>
        </w:rPr>
        <w:t>存在施工进度总计划报审表未签署审批日期，专项施工方案报审表、施工组织审计报审表的专业监理工程师签署姓名不一致且不是项目约定监理人员（应为“陈永”实为“周永”），未经施工单位项目部盖章等情况；雁南湖水环境治理及湿地修复工程存在部分桩基、基坑、基槽土方开挖工程报审报验表未经施工项目经理部、项目监理机构盖章确认，部分挖方场地凭证土方开挖工程检验批报审报验表未签署审批日期等情况。</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以上行为不符合《建设工程质量管理条例》第三十条“</w:t>
      </w:r>
      <w:r>
        <w:rPr>
          <w:rFonts w:ascii="仿宋_GB2312" w:hAnsi="Times New Roman" w:eastAsia="仿宋_GB2312" w:cs="Times New Roman"/>
          <w:sz w:val="28"/>
          <w:szCs w:val="28"/>
        </w:rPr>
        <w:t>施工单位必须建立、健全施工质量的检验制度，严格工序管理，作好隐蔽工程的质量检查和记录</w:t>
      </w:r>
      <w:r>
        <w:rPr>
          <w:rFonts w:hint="eastAsia" w:ascii="仿宋_GB2312" w:hAnsi="Times New Roman" w:eastAsia="仿宋_GB2312" w:cs="Times New Roman"/>
          <w:sz w:val="28"/>
          <w:szCs w:val="28"/>
        </w:rPr>
        <w:t>”、第三十六条“</w:t>
      </w:r>
      <w:r>
        <w:rPr>
          <w:rFonts w:ascii="仿宋_GB2312" w:hAnsi="Times New Roman" w:eastAsia="仿宋_GB2312" w:cs="Times New Roman"/>
          <w:sz w:val="28"/>
          <w:szCs w:val="28"/>
        </w:rPr>
        <w:t>工程监理单位应当依照法律、法规以及有关技术标准、设计文件和建设工程承包合同，代表建设单位对施工质量实施监理，并对施工质量承担监理责任</w:t>
      </w:r>
      <w:r>
        <w:rPr>
          <w:rFonts w:hint="eastAsia" w:ascii="仿宋_GB2312" w:hAnsi="Times New Roman" w:eastAsia="仿宋_GB2312" w:cs="Times New Roman"/>
          <w:sz w:val="28"/>
          <w:szCs w:val="28"/>
        </w:rPr>
        <w:t>”和</w:t>
      </w:r>
      <w:r>
        <w:rPr>
          <w:rFonts w:ascii="仿宋_GB2312" w:hAnsi="Times New Roman" w:eastAsia="仿宋_GB2312" w:cs="Times New Roman"/>
          <w:sz w:val="28"/>
          <w:szCs w:val="28"/>
        </w:rPr>
        <w:t>第三十七条</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未经监理工程师签字，建筑材料、建筑构配件和设备不得在工程上使用或者安装，施工单位不得进行下一道工序的施工</w:t>
      </w:r>
      <w:r>
        <w:rPr>
          <w:rFonts w:hint="eastAsia" w:ascii="仿宋_GB2312" w:hAnsi="Times New Roman" w:eastAsia="仿宋_GB2312" w:cs="Times New Roman"/>
          <w:sz w:val="28"/>
          <w:szCs w:val="28"/>
        </w:rPr>
        <w:t>”的规定。</w:t>
      </w:r>
    </w:p>
    <w:p>
      <w:pPr>
        <w:pStyle w:val="42"/>
        <w:keepNext w:val="0"/>
        <w:keepLines w:val="0"/>
        <w:pageBreakBefore w:val="0"/>
        <w:kinsoku/>
        <w:wordWrap/>
        <w:overflowPunct/>
        <w:topLinePunct w:val="0"/>
        <w:autoSpaceDE/>
        <w:autoSpaceDN/>
        <w:bidi w:val="0"/>
        <w:spacing w:line="400" w:lineRule="exact"/>
        <w:ind w:firstLine="560" w:firstLineChars="200"/>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项目办</w:t>
      </w:r>
      <w:r>
        <w:rPr>
          <w:rFonts w:hint="eastAsia" w:ascii="仿宋_GB2312" w:eastAsia="仿宋_GB2312" w:cs="Times New Roman"/>
          <w:sz w:val="28"/>
          <w:szCs w:val="28"/>
        </w:rPr>
        <w:t>应</w:t>
      </w:r>
      <w:r>
        <w:rPr>
          <w:rFonts w:hint="eastAsia" w:ascii="仿宋_GB2312" w:hAnsi="Times New Roman" w:eastAsia="仿宋_GB2312" w:cs="Times New Roman"/>
          <w:sz w:val="28"/>
          <w:szCs w:val="28"/>
        </w:rPr>
        <w:t>督促资阳高新管委会</w:t>
      </w:r>
      <w:r>
        <w:rPr>
          <w:rFonts w:hint="eastAsia" w:ascii="仿宋_GB2312" w:eastAsia="仿宋_GB2312" w:cs="Times New Roman"/>
          <w:sz w:val="28"/>
          <w:szCs w:val="28"/>
        </w:rPr>
        <w:t>对此进行整改</w:t>
      </w:r>
      <w:r>
        <w:rPr>
          <w:rFonts w:hint="eastAsia" w:ascii="仿宋_GB2312" w:hAnsi="Times New Roman" w:eastAsia="仿宋_GB2312" w:cs="Times New Roman"/>
          <w:sz w:val="28"/>
          <w:szCs w:val="28"/>
        </w:rPr>
        <w:t>，加强对施工过程的管理和监督，及时发现质量、安全隐患，</w:t>
      </w:r>
      <w:r>
        <w:rPr>
          <w:rFonts w:ascii="仿宋_GB2312" w:eastAsia="仿宋_GB2312"/>
          <w:sz w:val="28"/>
          <w:szCs w:val="28"/>
        </w:rPr>
        <w:t>杜绝类似</w:t>
      </w:r>
      <w:r>
        <w:rPr>
          <w:rFonts w:hint="eastAsia" w:ascii="仿宋_GB2312" w:eastAsia="仿宋_GB2312"/>
          <w:sz w:val="28"/>
          <w:szCs w:val="28"/>
        </w:rPr>
        <w:t>问题</w:t>
      </w:r>
      <w:r>
        <w:rPr>
          <w:rFonts w:ascii="仿宋_GB2312" w:eastAsia="仿宋_GB2312"/>
          <w:sz w:val="28"/>
          <w:szCs w:val="28"/>
        </w:rPr>
        <w:t>再次发生。</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2"/>
        <w:keepNext w:val="0"/>
        <w:keepLines w:val="0"/>
        <w:pageBreakBefore w:val="0"/>
        <w:kinsoku/>
        <w:wordWrap/>
        <w:overflowPunct/>
        <w:topLinePunct w:val="0"/>
        <w:autoSpaceDE/>
        <w:autoSpaceDN/>
        <w:bidi w:val="0"/>
        <w:spacing w:line="400" w:lineRule="exact"/>
        <w:ind w:firstLine="562" w:firstLineChars="200"/>
        <w:jc w:val="both"/>
        <w:textAlignment w:val="auto"/>
        <w:rPr>
          <w:b/>
          <w:sz w:val="28"/>
          <w:szCs w:val="28"/>
        </w:rPr>
      </w:pPr>
      <w:r>
        <w:rPr>
          <w:b/>
          <w:sz w:val="28"/>
          <w:szCs w:val="28"/>
        </w:rPr>
        <w:t xml:space="preserve"> </w:t>
      </w:r>
    </w:p>
    <w:p>
      <w:pPr>
        <w:pStyle w:val="40"/>
        <w:keepNext w:val="0"/>
        <w:keepLines w:val="0"/>
        <w:pageBreakBefore w:val="0"/>
        <w:kinsoku/>
        <w:wordWrap/>
        <w:overflowPunct/>
        <w:topLinePunct w:val="0"/>
        <w:autoSpaceDE/>
        <w:autoSpaceDN/>
        <w:bidi w:val="0"/>
        <w:spacing w:line="400" w:lineRule="exact"/>
        <w:ind w:firstLine="562" w:firstLineChars="200"/>
        <w:textAlignment w:val="auto"/>
        <w:rPr>
          <w:kern w:val="2"/>
          <w:sz w:val="28"/>
          <w:szCs w:val="28"/>
        </w:rPr>
      </w:pPr>
      <w:r>
        <w:rPr>
          <w:kern w:val="2"/>
          <w:sz w:val="28"/>
          <w:szCs w:val="28"/>
        </w:rPr>
        <w:t>（三）项目绩效方面存在的问题</w:t>
      </w:r>
    </w:p>
    <w:p>
      <w:pPr>
        <w:keepNext w:val="0"/>
        <w:keepLines w:val="0"/>
        <w:pageBreakBefore w:val="0"/>
        <w:kinsoku/>
        <w:wordWrap/>
        <w:overflowPunct/>
        <w:topLinePunct w:val="0"/>
        <w:autoSpaceDE/>
        <w:autoSpaceDN/>
        <w:bidi w:val="0"/>
        <w:spacing w:line="400" w:lineRule="exact"/>
        <w:ind w:firstLine="562"/>
        <w:textAlignment w:val="auto"/>
        <w:outlineLvl w:val="2"/>
        <w:rPr>
          <w:rFonts w:hint="eastAsia" w:eastAsia="仿宋_GB2312"/>
          <w:b/>
          <w:bCs/>
          <w:sz w:val="28"/>
          <w:szCs w:val="28"/>
        </w:rPr>
      </w:pPr>
      <w:r>
        <w:rPr>
          <w:rFonts w:eastAsia="仿宋_GB2312"/>
          <w:b/>
          <w:bCs/>
          <w:sz w:val="28"/>
          <w:szCs w:val="28"/>
        </w:rPr>
        <w:t xml:space="preserve"> </w:t>
      </w:r>
    </w:p>
    <w:p>
      <w:pPr>
        <w:keepNext w:val="0"/>
        <w:keepLines w:val="0"/>
        <w:pageBreakBefore w:val="0"/>
        <w:kinsoku/>
        <w:wordWrap/>
        <w:overflowPunct/>
        <w:topLinePunct w:val="0"/>
        <w:autoSpaceDE/>
        <w:autoSpaceDN/>
        <w:bidi w:val="0"/>
        <w:spacing w:line="400" w:lineRule="exact"/>
        <w:ind w:firstLine="562"/>
        <w:textAlignment w:val="auto"/>
        <w:outlineLvl w:val="2"/>
        <w:rPr>
          <w:rFonts w:eastAsia="仿宋_GB2312"/>
          <w:b/>
          <w:bCs/>
          <w:sz w:val="28"/>
          <w:szCs w:val="28"/>
        </w:rPr>
      </w:pPr>
      <w:r>
        <w:rPr>
          <w:rFonts w:hint="eastAsia" w:ascii="仿宋_GB2312" w:eastAsia="仿宋_GB2312"/>
          <w:b/>
          <w:bCs/>
          <w:sz w:val="28"/>
          <w:szCs w:val="28"/>
        </w:rPr>
        <w:t>项目进度缓慢。</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kern w:val="0"/>
          <w:sz w:val="28"/>
          <w:szCs w:val="28"/>
        </w:rPr>
        <w:t>截至</w:t>
      </w:r>
      <w:r>
        <w:rPr>
          <w:rFonts w:hint="eastAsia" w:ascii="Times New Roman" w:hAnsi="Times New Roman" w:eastAsia="仿宋_GB2312" w:cs="Times New Roman"/>
          <w:kern w:val="0"/>
          <w:sz w:val="28"/>
          <w:szCs w:val="28"/>
        </w:rPr>
        <w:t>2021</w:t>
      </w:r>
      <w:r>
        <w:rPr>
          <w:rFonts w:hint="eastAsia" w:ascii="仿宋_GB2312" w:hAnsi="Times New Roman" w:eastAsia="仿宋_GB2312" w:cs="Times New Roman"/>
          <w:kern w:val="0"/>
          <w:sz w:val="28"/>
          <w:szCs w:val="28"/>
        </w:rPr>
        <w:t>年</w:t>
      </w:r>
      <w:r>
        <w:rPr>
          <w:rFonts w:hint="eastAsia" w:ascii="Times New Roman" w:hAnsi="Times New Roman" w:eastAsia="仿宋_GB2312" w:cs="Times New Roman"/>
          <w:kern w:val="0"/>
          <w:sz w:val="28"/>
          <w:szCs w:val="28"/>
        </w:rPr>
        <w:t>12</w:t>
      </w:r>
      <w:r>
        <w:rPr>
          <w:rFonts w:hint="eastAsia" w:ascii="仿宋_GB2312" w:hAnsi="Times New Roman" w:eastAsia="仿宋_GB2312" w:cs="Times New Roman"/>
          <w:kern w:val="0"/>
          <w:sz w:val="28"/>
          <w:szCs w:val="28"/>
        </w:rPr>
        <w:t>月</w:t>
      </w:r>
      <w:r>
        <w:rPr>
          <w:rFonts w:hint="eastAsia" w:ascii="Times New Roman" w:hAnsi="Times New Roman" w:eastAsia="仿宋_GB2312" w:cs="Times New Roman"/>
          <w:kern w:val="0"/>
          <w:sz w:val="28"/>
          <w:szCs w:val="28"/>
        </w:rPr>
        <w:t>31</w:t>
      </w:r>
      <w:r>
        <w:rPr>
          <w:rFonts w:hint="eastAsia" w:ascii="仿宋_GB2312" w:hAnsi="Times New Roman" w:eastAsia="仿宋_GB2312" w:cs="Times New Roman"/>
          <w:kern w:val="0"/>
          <w:sz w:val="28"/>
          <w:szCs w:val="28"/>
        </w:rPr>
        <w:t>日，项目实际投资完成额为人民币</w:t>
      </w:r>
      <w:r>
        <w:rPr>
          <w:rFonts w:hint="eastAsia" w:ascii="Times New Roman" w:hAnsi="Times New Roman" w:eastAsia="仿宋_GB2312" w:cs="Times New Roman"/>
          <w:kern w:val="0"/>
          <w:sz w:val="28"/>
          <w:szCs w:val="28"/>
        </w:rPr>
        <w:t>142,548,051.38</w:t>
      </w:r>
      <w:r>
        <w:rPr>
          <w:rFonts w:hint="eastAsia" w:ascii="仿宋_GB2312" w:hAnsi="Times New Roman" w:eastAsia="仿宋_GB2312" w:cs="Times New Roman"/>
          <w:kern w:val="0"/>
          <w:sz w:val="28"/>
          <w:szCs w:val="28"/>
        </w:rPr>
        <w:t>元</w:t>
      </w:r>
      <w:r>
        <w:rPr>
          <w:rFonts w:hint="eastAsia" w:ascii="仿宋_GB2312" w:hAnsi="Times New Roman" w:eastAsia="仿宋_GB2312" w:cs="Times New Roman"/>
          <w:spacing w:val="-11"/>
          <w:kern w:val="0"/>
          <w:sz w:val="28"/>
          <w:szCs w:val="28"/>
        </w:rPr>
        <w:t>，</w:t>
      </w:r>
      <w:r>
        <w:rPr>
          <w:rFonts w:hint="eastAsia" w:ascii="仿宋_GB2312" w:hAnsi="Times New Roman" w:eastAsia="仿宋_GB2312" w:cs="Times New Roman"/>
          <w:spacing w:val="-6"/>
          <w:kern w:val="0"/>
          <w:sz w:val="28"/>
          <w:szCs w:val="28"/>
        </w:rPr>
        <w:t>占计划完成投资额人民币</w:t>
      </w:r>
      <w:r>
        <w:rPr>
          <w:rFonts w:hint="eastAsia" w:ascii="Times New Roman" w:hAnsi="Times New Roman" w:eastAsia="仿宋_GB2312" w:cs="Times New Roman"/>
          <w:spacing w:val="-11"/>
          <w:kern w:val="0"/>
          <w:sz w:val="28"/>
          <w:szCs w:val="28"/>
        </w:rPr>
        <w:t>2,551,334,800.00</w:t>
      </w:r>
      <w:r>
        <w:rPr>
          <w:rFonts w:hint="eastAsia" w:ascii="仿宋_GB2312" w:hAnsi="Times New Roman" w:eastAsia="仿宋_GB2312" w:cs="Times New Roman"/>
          <w:spacing w:val="-11"/>
          <w:kern w:val="0"/>
          <w:sz w:val="28"/>
          <w:szCs w:val="28"/>
        </w:rPr>
        <w:t>元的</w:t>
      </w:r>
      <w:r>
        <w:rPr>
          <w:rFonts w:hint="eastAsia" w:ascii="Times New Roman" w:hAnsi="Times New Roman" w:eastAsia="仿宋_GB2312" w:cs="Times New Roman"/>
          <w:spacing w:val="-11"/>
          <w:kern w:val="0"/>
          <w:sz w:val="28"/>
          <w:szCs w:val="28"/>
        </w:rPr>
        <w:t>5.59%</w:t>
      </w:r>
      <w:r>
        <w:rPr>
          <w:rFonts w:hint="eastAsia" w:ascii="仿宋_GB2312" w:hAnsi="Times New Roman" w:eastAsia="仿宋_GB2312" w:cs="Times New Roman"/>
          <w:spacing w:val="-11"/>
          <w:kern w:val="0"/>
          <w:sz w:val="28"/>
          <w:szCs w:val="28"/>
        </w:rPr>
        <w:t>。</w:t>
      </w:r>
      <w:r>
        <w:rPr>
          <w:rFonts w:hint="eastAsia" w:ascii="仿宋_GB2312" w:hAnsi="Times New Roman" w:eastAsia="仿宋_GB2312" w:cs="Times New Roman"/>
          <w:sz w:val="28"/>
          <w:szCs w:val="28"/>
        </w:rPr>
        <w:t>其中，</w:t>
      </w:r>
      <w:r>
        <w:rPr>
          <w:rFonts w:hint="eastAsia" w:ascii="Times New Roman" w:hAnsi="Times New Roman" w:eastAsia="仿宋_GB2312" w:cs="Times New Roman"/>
          <w:sz w:val="28"/>
          <w:szCs w:val="28"/>
        </w:rPr>
        <w:t>2021</w:t>
      </w:r>
      <w:r>
        <w:rPr>
          <w:rFonts w:hint="eastAsia" w:ascii="仿宋_GB2312" w:hAnsi="Times New Roman" w:eastAsia="仿宋_GB2312" w:cs="Times New Roman"/>
          <w:sz w:val="28"/>
          <w:szCs w:val="28"/>
        </w:rPr>
        <w:t>年度项目实际年度投资完成额为人民币</w:t>
      </w:r>
      <w:r>
        <w:rPr>
          <w:rFonts w:hint="eastAsia" w:ascii="Times New Roman" w:hAnsi="Times New Roman" w:eastAsia="仿宋_GB2312" w:cs="Times New Roman"/>
          <w:sz w:val="28"/>
          <w:szCs w:val="28"/>
        </w:rPr>
        <w:t>30,262,718.84</w:t>
      </w:r>
      <w:r>
        <w:rPr>
          <w:rFonts w:hint="eastAsia" w:ascii="仿宋_GB2312" w:hAnsi="Times New Roman" w:eastAsia="仿宋_GB2312" w:cs="Times New Roman"/>
          <w:spacing w:val="-11"/>
          <w:sz w:val="28"/>
          <w:szCs w:val="28"/>
        </w:rPr>
        <w:t>元，占本年度计划完成投资额人民币</w:t>
      </w:r>
      <w:r>
        <w:rPr>
          <w:rFonts w:hint="eastAsia" w:ascii="Times New Roman" w:hAnsi="Times New Roman" w:eastAsia="仿宋_GB2312" w:cs="Times New Roman"/>
          <w:spacing w:val="-11"/>
          <w:sz w:val="28"/>
          <w:szCs w:val="28"/>
        </w:rPr>
        <w:t>160,927,520.54</w:t>
      </w:r>
      <w:r>
        <w:rPr>
          <w:rFonts w:hint="eastAsia" w:ascii="仿宋_GB2312" w:hAnsi="Times New Roman" w:eastAsia="仿宋_GB2312" w:cs="Times New Roman"/>
          <w:spacing w:val="-11"/>
          <w:sz w:val="28"/>
          <w:szCs w:val="28"/>
        </w:rPr>
        <w:t>元</w:t>
      </w:r>
      <w:r>
        <w:rPr>
          <w:rFonts w:hint="eastAsia" w:ascii="仿宋_GB2312" w:hAnsi="Times New Roman" w:eastAsia="仿宋_GB2312" w:cs="Times New Roman"/>
          <w:sz w:val="28"/>
          <w:szCs w:val="28"/>
        </w:rPr>
        <w:t>的</w:t>
      </w:r>
      <w:r>
        <w:rPr>
          <w:rFonts w:hint="eastAsia" w:ascii="Times New Roman" w:hAnsi="Times New Roman" w:eastAsia="仿宋_GB2312" w:cs="Times New Roman"/>
          <w:sz w:val="28"/>
          <w:szCs w:val="28"/>
        </w:rPr>
        <w:t>18.81%</w:t>
      </w:r>
      <w:r>
        <w:rPr>
          <w:rFonts w:hint="eastAsia" w:ascii="仿宋_GB2312" w:hAnsi="Times New Roman" w:eastAsia="仿宋_GB2312" w:cs="Times New Roman"/>
          <w:sz w:val="28"/>
          <w:szCs w:val="28"/>
        </w:rPr>
        <w:t>。土建与货物项目采购计划挂网招标</w:t>
      </w:r>
      <w:r>
        <w:rPr>
          <w:rFonts w:hint="eastAsia" w:ascii="Times New Roman" w:hAnsi="Times New Roman" w:eastAsia="仿宋_GB2312" w:cs="Times New Roman"/>
          <w:sz w:val="28"/>
          <w:szCs w:val="28"/>
        </w:rPr>
        <w:t>10</w:t>
      </w:r>
      <w:r>
        <w:rPr>
          <w:rFonts w:hint="eastAsia" w:ascii="仿宋_GB2312" w:hAnsi="Times New Roman" w:eastAsia="仿宋_GB2312" w:cs="Times New Roman"/>
          <w:sz w:val="28"/>
          <w:szCs w:val="28"/>
        </w:rPr>
        <w:t>个，实际完成招标并确定中标单位</w:t>
      </w:r>
      <w:r>
        <w:rPr>
          <w:rFonts w:hint="eastAsia" w:ascii="Times New Roman" w:hAnsi="Times New Roman" w:eastAsia="仿宋_GB2312" w:cs="Times New Roman"/>
          <w:sz w:val="28"/>
          <w:szCs w:val="28"/>
        </w:rPr>
        <w:t>0</w:t>
      </w:r>
      <w:r>
        <w:rPr>
          <w:rFonts w:hint="eastAsia" w:ascii="仿宋_GB2312" w:hAnsi="Times New Roman" w:eastAsia="仿宋_GB2312" w:cs="Times New Roman"/>
          <w:sz w:val="28"/>
          <w:szCs w:val="28"/>
        </w:rPr>
        <w:t>个。</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主要原因是本项目国内概算审批流程未完成，加之新冠疫情影响，导致项目总体推进滞后。</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ascii="仿宋_GB2312" w:hAnsi="Times New Roman" w:eastAsia="仿宋_GB2312" w:cs="Times New Roman"/>
          <w:sz w:val="28"/>
          <w:szCs w:val="28"/>
        </w:rPr>
        <w:t>以上</w:t>
      </w:r>
      <w:r>
        <w:rPr>
          <w:rFonts w:hint="eastAsia" w:ascii="仿宋_GB2312" w:hAnsi="Times New Roman" w:eastAsia="仿宋_GB2312" w:cs="Times New Roman"/>
          <w:sz w:val="28"/>
          <w:szCs w:val="28"/>
        </w:rPr>
        <w:t>行为</w:t>
      </w:r>
      <w:r>
        <w:rPr>
          <w:rFonts w:ascii="仿宋_GB2312" w:hAnsi="Times New Roman" w:eastAsia="仿宋_GB2312" w:cs="Times New Roman"/>
          <w:sz w:val="28"/>
          <w:szCs w:val="28"/>
        </w:rPr>
        <w:t>不符合《国际金融组织和外国政府贷款赠款管理办法》（</w:t>
      </w:r>
      <w:r>
        <w:rPr>
          <w:rFonts w:ascii="Times New Roman" w:hAnsi="Times New Roman" w:eastAsia="仿宋_GB2312" w:cs="Times New Roman"/>
          <w:sz w:val="28"/>
          <w:szCs w:val="28"/>
        </w:rPr>
        <w:t>2016</w:t>
      </w:r>
      <w:r>
        <w:rPr>
          <w:rFonts w:ascii="仿宋_GB2312" w:hAnsi="Times New Roman" w:eastAsia="仿宋_GB2312" w:cs="Times New Roman"/>
          <w:sz w:val="28"/>
          <w:szCs w:val="28"/>
        </w:rPr>
        <w:t>年财政部第</w:t>
      </w:r>
      <w:r>
        <w:rPr>
          <w:rFonts w:ascii="Times New Roman" w:hAnsi="Times New Roman" w:eastAsia="仿宋_GB2312" w:cs="Times New Roman"/>
          <w:sz w:val="28"/>
          <w:szCs w:val="28"/>
        </w:rPr>
        <w:t>85</w:t>
      </w:r>
      <w:r>
        <w:rPr>
          <w:rFonts w:ascii="仿宋_GB2312" w:hAnsi="Times New Roman" w:eastAsia="仿宋_GB2312" w:cs="Times New Roman"/>
          <w:sz w:val="28"/>
          <w:szCs w:val="28"/>
        </w:rPr>
        <w:t>号令）第十二条</w:t>
      </w:r>
      <w:r>
        <w:rPr>
          <w:rFonts w:hint="eastAsia" w:ascii="仿宋_GB2312" w:hAnsi="Times New Roman" w:eastAsia="仿宋_GB2312" w:cs="Times New Roman"/>
          <w:sz w:val="28"/>
          <w:szCs w:val="28"/>
        </w:rPr>
        <w:t>第二项“</w:t>
      </w:r>
      <w:r>
        <w:rPr>
          <w:rFonts w:ascii="仿宋_GB2312" w:hAnsi="Times New Roman" w:eastAsia="仿宋_GB2312" w:cs="Times New Roman"/>
          <w:sz w:val="28"/>
          <w:szCs w:val="28"/>
        </w:rPr>
        <w:t>项目实施单位履行下列职责：</w:t>
      </w:r>
      <w:r>
        <w:rPr>
          <w:rFonts w:ascii="Times New Roman" w:hAnsi="Times New Roman" w:eastAsia="仿宋_GB2312" w:cs="Times New Roman"/>
          <w:sz w:val="28"/>
          <w:szCs w:val="28"/>
        </w:rPr>
        <w:t>……</w:t>
      </w:r>
      <w:r>
        <w:rPr>
          <w:rFonts w:ascii="仿宋_GB2312" w:hAnsi="Times New Roman" w:eastAsia="仿宋_GB2312" w:cs="Times New Roman"/>
          <w:sz w:val="28"/>
          <w:szCs w:val="28"/>
        </w:rPr>
        <w:t>（二）按照贷款、赠款法律文件和国内相关规定</w:t>
      </w:r>
      <w:r>
        <w:rPr>
          <w:rFonts w:ascii="Times New Roman" w:hAnsi="Times New Roman" w:eastAsia="仿宋_GB2312" w:cs="Times New Roman"/>
          <w:sz w:val="28"/>
          <w:szCs w:val="28"/>
        </w:rPr>
        <w:t>……</w:t>
      </w:r>
      <w:r>
        <w:rPr>
          <w:rFonts w:hint="eastAsia" w:ascii="仿宋_GB2312" w:hAnsi="Times New Roman" w:eastAsia="仿宋_GB2312" w:cs="Times New Roman"/>
          <w:sz w:val="28"/>
          <w:szCs w:val="28"/>
        </w:rPr>
        <w:t>组织项目采购，</w:t>
      </w:r>
      <w:r>
        <w:rPr>
          <w:rFonts w:ascii="仿宋_GB2312" w:hAnsi="Times New Roman" w:eastAsia="仿宋_GB2312" w:cs="Times New Roman"/>
          <w:sz w:val="28"/>
          <w:szCs w:val="28"/>
        </w:rPr>
        <w:t>开展项目活动，推进项目进度</w:t>
      </w:r>
      <w:r>
        <w:rPr>
          <w:rFonts w:ascii="Times New Roman" w:hAnsi="Times New Roman" w:eastAsia="仿宋_GB2312" w:cs="Times New Roman"/>
          <w:sz w:val="28"/>
          <w:szCs w:val="28"/>
        </w:rPr>
        <w:t>……</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的规定</w:t>
      </w:r>
      <w:r>
        <w:rPr>
          <w:rFonts w:hint="eastAsia" w:ascii="仿宋_GB2312" w:hAnsi="Times New Roman" w:eastAsia="仿宋_GB2312" w:cs="Times New Roman"/>
          <w:sz w:val="28"/>
          <w:szCs w:val="28"/>
        </w:rPr>
        <w:t>。</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hint="eastAsia" w:ascii="仿宋_GB2312" w:hAnsi="Times New Roman" w:eastAsia="仿宋_GB2312" w:cs="Times New Roman"/>
          <w:sz w:val="28"/>
          <w:szCs w:val="28"/>
        </w:rPr>
        <w:t>项目</w:t>
      </w:r>
      <w:r>
        <w:rPr>
          <w:rFonts w:ascii="仿宋_GB2312" w:hAnsi="Times New Roman" w:eastAsia="仿宋_GB2312" w:cs="Times New Roman"/>
          <w:sz w:val="28"/>
          <w:szCs w:val="28"/>
        </w:rPr>
        <w:t>办</w:t>
      </w:r>
      <w:r>
        <w:rPr>
          <w:rFonts w:hint="eastAsia" w:ascii="仿宋_GB2312" w:hAnsi="Times New Roman" w:eastAsia="仿宋_GB2312" w:cs="Times New Roman"/>
          <w:sz w:val="28"/>
          <w:szCs w:val="28"/>
        </w:rPr>
        <w:t>应</w:t>
      </w:r>
      <w:r>
        <w:rPr>
          <w:rFonts w:ascii="仿宋_GB2312" w:hAnsi="Times New Roman" w:eastAsia="仿宋_GB2312" w:cs="Times New Roman"/>
          <w:sz w:val="28"/>
          <w:szCs w:val="28"/>
        </w:rPr>
        <w:t>采取有效措施，督促</w:t>
      </w:r>
      <w:r>
        <w:rPr>
          <w:rFonts w:hint="eastAsia" w:ascii="仿宋_GB2312" w:hAnsi="Times New Roman" w:eastAsia="仿宋_GB2312" w:cs="Times New Roman"/>
          <w:sz w:val="28"/>
          <w:szCs w:val="28"/>
        </w:rPr>
        <w:t>项目实施机构</w:t>
      </w:r>
      <w:r>
        <w:rPr>
          <w:rFonts w:ascii="仿宋_GB2312" w:hAnsi="Times New Roman" w:eastAsia="仿宋_GB2312" w:cs="Times New Roman"/>
          <w:sz w:val="28"/>
          <w:szCs w:val="28"/>
        </w:rPr>
        <w:t>加强管理</w:t>
      </w:r>
      <w:r>
        <w:rPr>
          <w:rFonts w:hint="eastAsia" w:ascii="仿宋_GB2312" w:hAnsi="Times New Roman" w:eastAsia="仿宋_GB2312" w:cs="Times New Roman"/>
          <w:sz w:val="28"/>
          <w:szCs w:val="28"/>
        </w:rPr>
        <w:t>，</w:t>
      </w:r>
      <w:r>
        <w:rPr>
          <w:rFonts w:ascii="仿宋_GB2312" w:hAnsi="Times New Roman" w:eastAsia="仿宋_GB2312" w:cs="Times New Roman"/>
          <w:sz w:val="28"/>
          <w:szCs w:val="28"/>
        </w:rPr>
        <w:t>严格按计划推进项目，确保项目建设</w:t>
      </w:r>
      <w:r>
        <w:rPr>
          <w:rFonts w:hint="eastAsia" w:ascii="仿宋_GB2312" w:hAnsi="Times New Roman" w:eastAsia="仿宋_GB2312" w:cs="Times New Roman"/>
          <w:sz w:val="28"/>
          <w:szCs w:val="28"/>
        </w:rPr>
        <w:t>如</w:t>
      </w:r>
      <w:r>
        <w:rPr>
          <w:rFonts w:ascii="仿宋_GB2312" w:hAnsi="Times New Roman" w:eastAsia="仿宋_GB2312" w:cs="Times New Roman"/>
          <w:sz w:val="28"/>
          <w:szCs w:val="28"/>
        </w:rPr>
        <w:t>期完成，杜绝类似情况再次发生。</w:t>
      </w:r>
      <w:r>
        <w:rPr>
          <w:rFonts w:hint="eastAsia" w:ascii="仿宋_GB2312" w:eastAsia="仿宋_GB2312" w:cs="Times New Roman"/>
          <w:sz w:val="28"/>
          <w:szCs w:val="28"/>
        </w:rPr>
        <w:t>你办</w:t>
      </w:r>
      <w:r>
        <w:rPr>
          <w:rFonts w:hint="eastAsia" w:ascii="仿宋_GB2312" w:eastAsia="仿宋_GB2312"/>
          <w:sz w:val="28"/>
          <w:szCs w:val="28"/>
        </w:rPr>
        <w:t>已接受审计意见。</w:t>
      </w:r>
    </w:p>
    <w:p>
      <w:pPr>
        <w:pStyle w:val="42"/>
        <w:keepNext w:val="0"/>
        <w:keepLines w:val="0"/>
        <w:pageBreakBefore w:val="0"/>
        <w:kinsoku/>
        <w:wordWrap/>
        <w:overflowPunct/>
        <w:topLinePunct w:val="0"/>
        <w:autoSpaceDE/>
        <w:autoSpaceDN/>
        <w:bidi w:val="0"/>
        <w:spacing w:line="400" w:lineRule="exact"/>
        <w:ind w:firstLine="560" w:firstLineChars="200"/>
        <w:jc w:val="both"/>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 </w:t>
      </w:r>
    </w:p>
    <w:p>
      <w:pPr>
        <w:pStyle w:val="40"/>
        <w:keepNext w:val="0"/>
        <w:keepLines w:val="0"/>
        <w:pageBreakBefore w:val="0"/>
        <w:kinsoku/>
        <w:wordWrap/>
        <w:overflowPunct/>
        <w:topLinePunct w:val="0"/>
        <w:autoSpaceDE/>
        <w:autoSpaceDN/>
        <w:bidi w:val="0"/>
        <w:spacing w:line="400" w:lineRule="exact"/>
        <w:ind w:firstLine="562" w:firstLineChars="200"/>
        <w:textAlignment w:val="auto"/>
        <w:rPr>
          <w:kern w:val="2"/>
          <w:sz w:val="28"/>
          <w:szCs w:val="28"/>
        </w:rPr>
      </w:pPr>
      <w:r>
        <w:rPr>
          <w:kern w:val="2"/>
          <w:sz w:val="28"/>
          <w:szCs w:val="28"/>
        </w:rPr>
        <w:t>（四）上一年度审计发现问题未整改情况</w:t>
      </w:r>
    </w:p>
    <w:p>
      <w:pPr>
        <w:keepNext w:val="0"/>
        <w:keepLines w:val="0"/>
        <w:pageBreakBefore w:val="0"/>
        <w:kinsoku/>
        <w:wordWrap/>
        <w:overflowPunct/>
        <w:topLinePunct w:val="0"/>
        <w:autoSpaceDE/>
        <w:autoSpaceDN/>
        <w:bidi w:val="0"/>
        <w:spacing w:line="400" w:lineRule="exact"/>
        <w:ind w:firstLine="560" w:firstLineChars="200"/>
        <w:textAlignment w:val="auto"/>
        <w:rPr>
          <w:rFonts w:hint="eastAsia" w:eastAsia="仿宋_GB2312"/>
          <w:sz w:val="28"/>
          <w:szCs w:val="28"/>
        </w:rPr>
      </w:pPr>
      <w:r>
        <w:rPr>
          <w:rFonts w:eastAsia="仿宋_GB2312"/>
          <w:sz w:val="28"/>
          <w:szCs w:val="28"/>
        </w:rPr>
        <w:t xml:space="preserve"> </w:t>
      </w:r>
    </w:p>
    <w:p>
      <w:pPr>
        <w:keepNext w:val="0"/>
        <w:keepLines w:val="0"/>
        <w:pageBreakBefore w:val="0"/>
        <w:kinsoku/>
        <w:wordWrap/>
        <w:overflowPunct/>
        <w:topLinePunct w:val="0"/>
        <w:autoSpaceDE/>
        <w:autoSpaceDN/>
        <w:bidi w:val="0"/>
        <w:spacing w:line="400" w:lineRule="exact"/>
        <w:ind w:firstLine="560" w:firstLineChars="200"/>
        <w:textAlignment w:val="auto"/>
        <w:rPr>
          <w:rFonts w:eastAsia="仿宋_GB2312"/>
          <w:sz w:val="28"/>
          <w:szCs w:val="28"/>
        </w:rPr>
      </w:pPr>
      <w:r>
        <w:rPr>
          <w:rFonts w:ascii="仿宋_GB2312" w:eastAsia="仿宋_GB2312"/>
          <w:sz w:val="28"/>
          <w:szCs w:val="28"/>
        </w:rPr>
        <w:t>审计发现，上一年度审计报告披露的</w:t>
      </w:r>
      <w:r>
        <w:rPr>
          <w:rFonts w:hint="eastAsia" w:eastAsia="仿宋_GB2312"/>
          <w:sz w:val="28"/>
          <w:szCs w:val="28"/>
        </w:rPr>
        <w:t>6</w:t>
      </w:r>
      <w:r>
        <w:rPr>
          <w:rFonts w:ascii="仿宋_GB2312" w:eastAsia="仿宋_GB2312"/>
          <w:sz w:val="28"/>
          <w:szCs w:val="28"/>
        </w:rPr>
        <w:t>个问题中，项目进度滞后的问题未整改</w:t>
      </w:r>
      <w:r>
        <w:rPr>
          <w:rFonts w:hint="eastAsia" w:ascii="仿宋_GB2312" w:eastAsia="仿宋_GB2312"/>
          <w:sz w:val="28"/>
          <w:szCs w:val="28"/>
        </w:rPr>
        <w:t>到位</w:t>
      </w:r>
      <w:r>
        <w:rPr>
          <w:rFonts w:ascii="仿宋_GB2312" w:eastAsia="仿宋_GB2312"/>
          <w:sz w:val="28"/>
          <w:szCs w:val="28"/>
        </w:rPr>
        <w:t>。</w:t>
      </w:r>
      <w:bookmarkStart w:id="19" w:name="_GoBack"/>
      <w:bookmarkEnd w:id="19"/>
    </w:p>
    <w:p>
      <w:pPr>
        <w:keepNext w:val="0"/>
        <w:keepLines w:val="0"/>
        <w:pageBreakBefore w:val="0"/>
        <w:widowControl/>
        <w:kinsoku/>
        <w:wordWrap/>
        <w:overflowPunct/>
        <w:topLinePunct w:val="0"/>
        <w:autoSpaceDE/>
        <w:autoSpaceDN/>
        <w:bidi w:val="0"/>
        <w:spacing w:line="400" w:lineRule="exact"/>
        <w:jc w:val="left"/>
        <w:textAlignment w:val="auto"/>
        <w:rPr>
          <w:rFonts w:eastAsia="仿宋_GB2312"/>
          <w:b/>
          <w:bCs/>
          <w:color w:val="000000"/>
          <w:sz w:val="28"/>
          <w:szCs w:val="28"/>
        </w:rPr>
      </w:pPr>
    </w:p>
    <w:sectPr>
      <w:headerReference r:id="rId8" w:type="default"/>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rPr>
        <w:rStyle w:val="48"/>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GdUalAQAAOwMAAA4AAABkcnMvZTJvRG9jLnhtbK1SXYobMQx+L/QO&#10;xu/NTAIp6RBnKSxbCqVd2PYAjsfOGPyH5M1MTlPoWw/R45Reo7IzyS7tW+mLLVnyJ32ftL2ZvGNH&#10;DWhjEHy5aDnTQcXehoPgXz7fvdpwhlmGXroYtOAnjfxm9/LFdkydXsUhul4DI5CA3ZgEH3JOXdOg&#10;GrSXuIhJBwqaCF5mcuHQ9CBHQveuWbXt62aM0CeISiPS6+05yHcV3xit8idjUGfmBKfecj2hnvty&#10;Nrut7A4g02DV3Ib8hy68tIGKXqFuZZbsEexfUN4qiBhNXqjom2iMVbpyIDbL9g82D4NMunIhcTBd&#10;ZcL/B6s+Hu+B2V7wNWdBehrRr6/ff/74xtZFmzFhRykP6R5mD8ksRCcDvtxEgU1Vz9NVTz1lpuhx&#10;uVltNi3Jrih2cQinefqeAPM7HT0rhuBAA6s6yuMHzOfUS0qpFuKddY7eZecCGwV/s16t64drhMBd&#10;oBql9XOzxcrTfpoZ7GN/Is4jDV3wQFvJmXsfSNOyHxcDLsZ+NkpJTG8fM3VQGyuoZ6i5GE2oUpu3&#10;qazAc79mPe387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TIZ1RqUBAAA7AwAADgAAAAAA&#10;AAABACAAAAAfAQAAZHJzL2Uyb0RvYy54bWxQSwUGAAAAAAYABgBZAQAAN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rect>
          </w:pict>
        </mc:Fallback>
      </mc:AlternateContent>
    </w:r>
  </w:p>
  <w:p>
    <w:pPr>
      <w:pStyle w:val="47"/>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framePr w:wrap="around" w:vAnchor="text" w:hAnchor="margin" w:xAlign="center" w:y="1"/>
      <w:jc w:val="both"/>
      <w:rPr>
        <w:rStyle w:val="48"/>
      </w:rPr>
    </w:pPr>
    <w:r>
      <w:fldChar w:fldCharType="begin"/>
    </w:r>
    <w:r>
      <w:rPr>
        <w:rStyle w:val="48"/>
      </w:rPr>
      <w:instrText xml:space="preserve">PAGE  </w:instrText>
    </w:r>
    <w:r>
      <w:fldChar w:fldCharType="separate"/>
    </w:r>
    <w:r>
      <w:rPr>
        <w:rStyle w:val="48"/>
      </w:rPr>
      <w:t>7</w:t>
    </w:r>
    <w:r>
      <w:fldChar w:fldCharType="end"/>
    </w:r>
  </w:p>
  <w:p>
    <w:pPr>
      <w:pStyle w:val="47"/>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jc w:val="both"/>
      <w:rPr>
        <w:rStyle w:val="4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XAe6OlAQAAOwMAAA4AAABkcnMvZTJvRG9jLnhtbK1SXUokMRB+X/AO&#10;Ie9O9wwovc1kRBBFEFdw9wCZdDIdyB+VON1zGsG3PcQeZ9lrbCXTM4q+iS9JVaryVX1f1fJitIZs&#10;JUTtHaPzWU2JdMJ32m0Y/fXz+rShJCbuOm68k4zuZKQXq5NvyyG0cuF7bzoJBEFcbIfAaJ9SaKsq&#10;il5aHmc+SIdB5cHyhC5sqg74gOjWVIu6Pq8GD10AL2SM+Hq1D9JVwVdKivRDqSgTMYxib6mcUM51&#10;PqvVkrcb4KHXYmqDf6ILy7XDokeoK544eQL9AcpqAT56lWbC28orpYUsHJDNvH7H5rHnQRYuKE4M&#10;R5ni18GK++0DEN0xioNy3OKI/j3//vvnhTRZmyHEFlMewwNMXkQzEx0V2HwjBTIWPXdHPeWYiMDH&#10;ebNomhplFxg7OIhTvX4PENON9JZkg1HAgRUd+fYupn3qISVXc/5aG4PvvDWODIx+P1uclQ/HCIIb&#10;hzVy6/tms5XG9TgxWPtuh5wHHDqjDreSEnPrUNO8HwcDDsZ6MnLJGC6fEnZQGsuoe6ipGE6oUJu2&#10;Ka/AW79kve786j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5dblS0AAAAAUBAAAPAAAAAAAAAAEA&#10;IAAAACIAAABkcnMvZG93bnJldi54bWxQSwECFAAUAAAACACHTuJAhcB7o6UBAAA7AwAADgAAAAAA&#10;AAABACAAAAAfAQAAZHJzL2Uyb0RvYy54bWxQSwUGAAAAAAYABgBZAQAANg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18</w:t>
                    </w:r>
                    <w:r>
                      <w:rPr>
                        <w:rFonts w:hint="eastAsia"/>
                        <w:sz w:val="18"/>
                      </w:rPr>
                      <w:fldChar w:fldCharType="end"/>
                    </w:r>
                  </w:p>
                </w:txbxContent>
              </v:textbox>
            </v:rect>
          </w:pict>
        </mc:Fallback>
      </mc:AlternateContent>
    </w:r>
  </w:p>
  <w:p>
    <w:pPr>
      <w:pStyle w:val="47"/>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right="360" w:firstLine="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矩形 9"/>
              <wp:cNvGraphicFramePr/>
              <a:graphic xmlns:a="http://schemas.openxmlformats.org/drawingml/2006/main">
                <a:graphicData uri="http://schemas.microsoft.com/office/word/2010/wordprocessingShape">
                  <wps:wsp>
                    <wps:cNvSpPr/>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wps:txbx>
                    <wps:bodyPr wrap="none" lIns="0" tIns="0" rIns="0" bIns="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SCzhimAQAAOwMAAA4AAABkcnMvZTJvRG9jLnhtbK1SXWobMRB+L+QO&#10;Qu/xrg0pzuJ1CISEQEkDaQ8gayWvQH/MKN71aQJ96yF6nNJrdCSvndK8hbxoZzTab77vm1ldjc6y&#10;nQI0wbd8Pqs5U16Gzvhty79/uz1fcoZJ+E7Y4FXL9wr51frs02qIjVqEPthOASMQj80QW96nFJuq&#10;QtkrJ3AWovJU1AGcSJTCtupADITubLWo68/VEKCLEKRCpNubQ5GvC77WSqavWqNKzLacuKVyQjk3&#10;+azWK9FsQcTeyImGeAcLJ4ynpieoG5EEewbzBsoZCQGDTjMZXBW0NlIVDaRmXv+n5qkXURUtZA7G&#10;k034cbDyYfcIzHQtv+TMC0cj+vPy8/evH+wyezNEbOjJU3yEKUMKs9BRg8tfksDG4uf+5KcaE5N0&#10;OV8ulsuabJdUOyaEU73+HgHTnQqO5aDlQAMrPordF0yHp8cnuZsPt8ZauheN9Wwg1heLi/LDqULg&#10;1lOPTP1ANkdp3IyTgk3o9qR5oKG33NNWcmbvPXma9+MYwDHYTEFuifH6ORGDQiyjHqCmZjShIm3a&#10;prwC/+bl1evOr/8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uXW5UtAAAAAFAQAADwAAAAAAAAAB&#10;ACAAAAAiAAAAZHJzL2Rvd25yZXYueG1sUEsBAhQAFAAAAAgAh07iQESCzhimAQAAOwMAAA4AAAAA&#10;AAAAAQAgAAAAHwEAAGRycy9lMm9Eb2MueG1sUEsFBgAAAAAGAAYAWQEAADc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27</w:t>
                    </w:r>
                    <w:r>
                      <w:rPr>
                        <w:rFonts w:hint="eastAsia"/>
                        <w:sz w:val="18"/>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ind w:right="360"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WfyLEBAABIAwAADgAAAGRycy9lMm9Eb2MueG1srVNLbtswEN0X6B0I&#10;7mspBtK4gumgRZCiQJAUSHoAmiItAvyBw1jyBZIbdJVN9jmXz9EhLTlFswu6oWY4wzfz3oyW54M1&#10;ZCsjaO8YPZnVlEgnfKvdhtFfd5efFpRA4q7lxjvJ6E4CPV99/LDsQyPnvvOmlZEgiIOmD4x2KYWm&#10;qkB00nKY+SAdBpWPlid046ZqI+8R3ZpqXtefq97HNkQvJADeXhyCdFXwlZIi3SgFMhHDKPaWyhnL&#10;uc5ntVryZhN56LQY2+Dv6MJy7bDoEeqCJ07uo34DZbWIHrxKM+Ft5ZXSQhYOyOak/ofNbceDLFxQ&#10;HAhHmeD/wYrr7c9IdMvoGSWOWxzR/vfj/ull//xAzrI8fYAGs24D5qXhmx9wzNM94GVmPaho8xf5&#10;EIyj0LujuHJIRORHi/liUWNIYGxyEL96fR4ipO/SW5INRiNOr4jKt1eQDqlTSq7m/KU2pkzQONIz&#10;+uV0floeHCMIbhzWyCQOzWYrDethZLb27Q6J9bgBjDpcUUrMD4cC52WZjDgZ69HI1SF8v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v9Z/IsQEA&#10;AEg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B76D6"/>
    <w:rsid w:val="0026749A"/>
    <w:rsid w:val="0154570E"/>
    <w:rsid w:val="03A35E49"/>
    <w:rsid w:val="04DC058F"/>
    <w:rsid w:val="06294E95"/>
    <w:rsid w:val="062A732E"/>
    <w:rsid w:val="0943786C"/>
    <w:rsid w:val="11AE69AD"/>
    <w:rsid w:val="11DC7442"/>
    <w:rsid w:val="11E14BA1"/>
    <w:rsid w:val="1531EA9E"/>
    <w:rsid w:val="17A4357C"/>
    <w:rsid w:val="18EA328E"/>
    <w:rsid w:val="1A4D08F5"/>
    <w:rsid w:val="1A5B76D6"/>
    <w:rsid w:val="1ACD7695"/>
    <w:rsid w:val="1B9B56E7"/>
    <w:rsid w:val="1D81028F"/>
    <w:rsid w:val="205D5606"/>
    <w:rsid w:val="248E5863"/>
    <w:rsid w:val="28DD5C5B"/>
    <w:rsid w:val="2AAA7D8D"/>
    <w:rsid w:val="2BEB60E8"/>
    <w:rsid w:val="2BF36F38"/>
    <w:rsid w:val="2C8147AD"/>
    <w:rsid w:val="2EF62067"/>
    <w:rsid w:val="2FDF3D9E"/>
    <w:rsid w:val="303B0DB0"/>
    <w:rsid w:val="33A27679"/>
    <w:rsid w:val="33B54874"/>
    <w:rsid w:val="33DD83D0"/>
    <w:rsid w:val="345C2585"/>
    <w:rsid w:val="34CE26F9"/>
    <w:rsid w:val="34F6A278"/>
    <w:rsid w:val="35121186"/>
    <w:rsid w:val="356F23B1"/>
    <w:rsid w:val="37020FF2"/>
    <w:rsid w:val="38EB731F"/>
    <w:rsid w:val="3AD94FD7"/>
    <w:rsid w:val="3BDEA52C"/>
    <w:rsid w:val="3EDF0BAB"/>
    <w:rsid w:val="3F3F620A"/>
    <w:rsid w:val="41C359B5"/>
    <w:rsid w:val="43B26014"/>
    <w:rsid w:val="45AE690D"/>
    <w:rsid w:val="49FFF448"/>
    <w:rsid w:val="4DCF704B"/>
    <w:rsid w:val="4DFD9059"/>
    <w:rsid w:val="4EFD623D"/>
    <w:rsid w:val="4FD24AE4"/>
    <w:rsid w:val="4FDF6111"/>
    <w:rsid w:val="50754A84"/>
    <w:rsid w:val="51D47A53"/>
    <w:rsid w:val="52CF2846"/>
    <w:rsid w:val="535C7FAA"/>
    <w:rsid w:val="563DC8DA"/>
    <w:rsid w:val="596F1F8B"/>
    <w:rsid w:val="5A9A0375"/>
    <w:rsid w:val="5ABFFACB"/>
    <w:rsid w:val="5B2B212C"/>
    <w:rsid w:val="5C0543FB"/>
    <w:rsid w:val="5CBD8FED"/>
    <w:rsid w:val="5E562665"/>
    <w:rsid w:val="5E98A867"/>
    <w:rsid w:val="5EF7F1C4"/>
    <w:rsid w:val="5FBF961B"/>
    <w:rsid w:val="5FCD2B68"/>
    <w:rsid w:val="5FFE8D65"/>
    <w:rsid w:val="65641F9E"/>
    <w:rsid w:val="65A669C0"/>
    <w:rsid w:val="66BF24F9"/>
    <w:rsid w:val="67EFB4DF"/>
    <w:rsid w:val="6ABC3487"/>
    <w:rsid w:val="6AC94FCE"/>
    <w:rsid w:val="6AE953F4"/>
    <w:rsid w:val="6AFAECBA"/>
    <w:rsid w:val="6B3A992C"/>
    <w:rsid w:val="6BFF0B2A"/>
    <w:rsid w:val="6E7C55BB"/>
    <w:rsid w:val="6F892986"/>
    <w:rsid w:val="733F7687"/>
    <w:rsid w:val="73CFDD8D"/>
    <w:rsid w:val="73D10B97"/>
    <w:rsid w:val="73EE12C6"/>
    <w:rsid w:val="7477DBE8"/>
    <w:rsid w:val="75DCCB8B"/>
    <w:rsid w:val="75DF7BD9"/>
    <w:rsid w:val="75EFC10D"/>
    <w:rsid w:val="776155CE"/>
    <w:rsid w:val="77BED24D"/>
    <w:rsid w:val="78DF7E06"/>
    <w:rsid w:val="7900449E"/>
    <w:rsid w:val="791F5008"/>
    <w:rsid w:val="79CF022C"/>
    <w:rsid w:val="7A905850"/>
    <w:rsid w:val="7AEEAE35"/>
    <w:rsid w:val="7BD70D06"/>
    <w:rsid w:val="7D7FF713"/>
    <w:rsid w:val="7DA2501D"/>
    <w:rsid w:val="7DDD334C"/>
    <w:rsid w:val="7DFDDCF1"/>
    <w:rsid w:val="7DFFF1E1"/>
    <w:rsid w:val="7E1A53FB"/>
    <w:rsid w:val="7E43EB0F"/>
    <w:rsid w:val="7E77583C"/>
    <w:rsid w:val="7E7766BC"/>
    <w:rsid w:val="7E7DE465"/>
    <w:rsid w:val="7EBDC402"/>
    <w:rsid w:val="7EDD1E2D"/>
    <w:rsid w:val="7EF96A64"/>
    <w:rsid w:val="7EF9E690"/>
    <w:rsid w:val="7F1F297F"/>
    <w:rsid w:val="7F7E35EB"/>
    <w:rsid w:val="7F9F34A4"/>
    <w:rsid w:val="7FA77AA0"/>
    <w:rsid w:val="7FACCC0A"/>
    <w:rsid w:val="7FBF4789"/>
    <w:rsid w:val="7FF4C0AD"/>
    <w:rsid w:val="7FFA3C12"/>
    <w:rsid w:val="7FFB004D"/>
    <w:rsid w:val="7FFE2B5B"/>
    <w:rsid w:val="97EDFE49"/>
    <w:rsid w:val="9B7F40E3"/>
    <w:rsid w:val="9BEDF27C"/>
    <w:rsid w:val="9D4B5CFF"/>
    <w:rsid w:val="A7D55C42"/>
    <w:rsid w:val="AFEC29D0"/>
    <w:rsid w:val="B2EDB856"/>
    <w:rsid w:val="B3C03D47"/>
    <w:rsid w:val="B67CA8C2"/>
    <w:rsid w:val="B6FBC457"/>
    <w:rsid w:val="B7A76E50"/>
    <w:rsid w:val="BBAF8F44"/>
    <w:rsid w:val="BBBEB612"/>
    <w:rsid w:val="BCDF5DE3"/>
    <w:rsid w:val="BDFE862C"/>
    <w:rsid w:val="C6E67F6F"/>
    <w:rsid w:val="CBDAC282"/>
    <w:rsid w:val="CF2B9F45"/>
    <w:rsid w:val="D73BAE21"/>
    <w:rsid w:val="D7EFD1B4"/>
    <w:rsid w:val="D9EFBFE9"/>
    <w:rsid w:val="DBBB4A43"/>
    <w:rsid w:val="DBF9E165"/>
    <w:rsid w:val="DBFE59E2"/>
    <w:rsid w:val="DD1B7890"/>
    <w:rsid w:val="DDDFB92A"/>
    <w:rsid w:val="DFFF7A0E"/>
    <w:rsid w:val="E35F7469"/>
    <w:rsid w:val="E7D21092"/>
    <w:rsid w:val="E9FD6993"/>
    <w:rsid w:val="EB7D7A4F"/>
    <w:rsid w:val="EBFF00FC"/>
    <w:rsid w:val="ECFF98DE"/>
    <w:rsid w:val="EE7DC983"/>
    <w:rsid w:val="EF6C7DAC"/>
    <w:rsid w:val="EF7E96A2"/>
    <w:rsid w:val="EFFB1588"/>
    <w:rsid w:val="F3FE89AF"/>
    <w:rsid w:val="F59B8DA2"/>
    <w:rsid w:val="F77B1DC6"/>
    <w:rsid w:val="F77F41D7"/>
    <w:rsid w:val="F7E7962A"/>
    <w:rsid w:val="F7F718DE"/>
    <w:rsid w:val="F7FF0266"/>
    <w:rsid w:val="F7FFDABC"/>
    <w:rsid w:val="FA3CA59A"/>
    <w:rsid w:val="FADBBD19"/>
    <w:rsid w:val="FB3A39D8"/>
    <w:rsid w:val="FB7DFEB6"/>
    <w:rsid w:val="FBAF6B48"/>
    <w:rsid w:val="FBE71AB2"/>
    <w:rsid w:val="FBF30302"/>
    <w:rsid w:val="FCFF8AEC"/>
    <w:rsid w:val="FDABDB99"/>
    <w:rsid w:val="FDBCA8AC"/>
    <w:rsid w:val="FDEFA3C8"/>
    <w:rsid w:val="FDFD789B"/>
    <w:rsid w:val="FE7DFCDD"/>
    <w:rsid w:val="FE7F1FAA"/>
    <w:rsid w:val="FF365D67"/>
    <w:rsid w:val="FF7DF801"/>
    <w:rsid w:val="FFB2AC12"/>
    <w:rsid w:val="FFBBF61F"/>
    <w:rsid w:val="FFEF4B97"/>
    <w:rsid w:val="FFF55DC6"/>
    <w:rsid w:val="FFF6A4FF"/>
    <w:rsid w:val="FFF85DFA"/>
    <w:rsid w:val="FFFEA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spacing w:line="420" w:lineRule="exact"/>
      <w:jc w:val="center"/>
      <w:outlineLvl w:val="0"/>
    </w:pPr>
    <w:rPr>
      <w:rFonts w:eastAsia="仿宋_GB2312"/>
      <w:b/>
      <w:bCs/>
      <w:sz w:val="32"/>
      <w:szCs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39"/>
    <w:pPr>
      <w:ind w:left="420" w:leftChars="200"/>
    </w:pPr>
  </w:style>
  <w:style w:type="character" w:styleId="9">
    <w:name w:val="Hyperlink"/>
    <w:basedOn w:val="8"/>
    <w:qFormat/>
    <w:uiPriority w:val="0"/>
    <w:rPr>
      <w:color w:val="0563C1"/>
      <w:u w:val="single"/>
    </w:rPr>
  </w:style>
  <w:style w:type="paragraph" w:customStyle="1" w:styleId="11">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
    <w:name w:val="正文文本缩进 2 New"/>
    <w:basedOn w:val="11"/>
    <w:qFormat/>
    <w:uiPriority w:val="0"/>
    <w:pPr>
      <w:spacing w:line="400" w:lineRule="exact"/>
      <w:ind w:left="540"/>
    </w:pPr>
    <w:rPr>
      <w:sz w:val="28"/>
      <w:szCs w:val="28"/>
      <w:lang w:val="en-GB"/>
    </w:rPr>
  </w:style>
  <w:style w:type="paragraph" w:customStyle="1" w:styleId="13">
    <w:name w:val="目录标题1-中"/>
    <w:basedOn w:val="14"/>
    <w:qFormat/>
    <w:uiPriority w:val="0"/>
    <w:pPr>
      <w:snapToGrid w:val="0"/>
      <w:spacing w:line="400" w:lineRule="exact"/>
      <w:jc w:val="left"/>
    </w:pPr>
    <w:rPr>
      <w:kern w:val="0"/>
      <w:sz w:val="28"/>
      <w:szCs w:val="28"/>
    </w:rPr>
  </w:style>
  <w:style w:type="paragraph" w:customStyle="1" w:styleId="14">
    <w:name w:val="标题 1 New"/>
    <w:basedOn w:val="11"/>
    <w:next w:val="11"/>
    <w:qFormat/>
    <w:uiPriority w:val="0"/>
    <w:pPr>
      <w:keepNext/>
      <w:spacing w:line="420" w:lineRule="exact"/>
      <w:jc w:val="center"/>
      <w:outlineLvl w:val="0"/>
    </w:pPr>
    <w:rPr>
      <w:rFonts w:eastAsia="仿宋_GB2312"/>
      <w:b/>
      <w:bCs/>
      <w:sz w:val="32"/>
      <w:szCs w:val="32"/>
    </w:rPr>
  </w:style>
  <w:style w:type="paragraph" w:customStyle="1" w:styleId="15">
    <w:name w:val="正文标题-中"/>
    <w:basedOn w:val="16"/>
    <w:qFormat/>
    <w:uiPriority w:val="0"/>
    <w:pPr>
      <w:snapToGrid w:val="0"/>
      <w:spacing w:line="400" w:lineRule="exact"/>
      <w:jc w:val="center"/>
    </w:pPr>
    <w:rPr>
      <w:rFonts w:eastAsia="仿宋_GB2312"/>
      <w:b/>
      <w:sz w:val="32"/>
      <w:szCs w:val="32"/>
      <w:lang w:val="en-GB"/>
    </w:rPr>
  </w:style>
  <w:style w:type="paragraph" w:customStyle="1" w:styleId="16">
    <w:name w:val="正文文本 New"/>
    <w:basedOn w:val="11"/>
    <w:qFormat/>
    <w:uiPriority w:val="0"/>
    <w:pPr>
      <w:widowControl/>
      <w:jc w:val="left"/>
    </w:pPr>
    <w:rPr>
      <w:sz w:val="24"/>
      <w:szCs w:val="24"/>
    </w:rPr>
  </w:style>
  <w:style w:type="paragraph" w:customStyle="1" w:styleId="17">
    <w:name w:val="正文内容-中"/>
    <w:basedOn w:val="11"/>
    <w:qFormat/>
    <w:uiPriority w:val="0"/>
    <w:pPr>
      <w:adjustRightInd w:val="0"/>
      <w:snapToGrid w:val="0"/>
      <w:spacing w:line="400" w:lineRule="exact"/>
      <w:ind w:firstLine="560" w:firstLineChars="200"/>
    </w:pPr>
    <w:rPr>
      <w:rFonts w:ascii="仿宋_GB2312" w:eastAsia="仿宋_GB2312"/>
      <w:sz w:val="28"/>
      <w:szCs w:val="28"/>
    </w:rPr>
  </w:style>
  <w:style w:type="paragraph" w:customStyle="1" w:styleId="18">
    <w:name w:val="审报正文内容-中"/>
    <w:basedOn w:val="11"/>
    <w:qFormat/>
    <w:uiPriority w:val="0"/>
    <w:pPr>
      <w:adjustRightInd w:val="0"/>
      <w:snapToGrid w:val="0"/>
      <w:spacing w:line="400" w:lineRule="exact"/>
      <w:ind w:firstLine="561"/>
    </w:pPr>
    <w:rPr>
      <w:rFonts w:ascii="仿宋_GB2312" w:eastAsia="仿宋_GB2312"/>
      <w:sz w:val="28"/>
      <w:szCs w:val="28"/>
    </w:rPr>
  </w:style>
  <w:style w:type="paragraph" w:customStyle="1" w:styleId="19">
    <w:name w:val="审报正文联系方式-中"/>
    <w:basedOn w:val="11"/>
    <w:qFormat/>
    <w:uiPriority w:val="0"/>
    <w:pPr>
      <w:snapToGrid w:val="0"/>
      <w:spacing w:line="400" w:lineRule="exact"/>
      <w:jc w:val="left"/>
    </w:pPr>
    <w:rPr>
      <w:rFonts w:ascii="仿宋_GB2312" w:eastAsia="仿宋_GB2312"/>
      <w:sz w:val="28"/>
      <w:szCs w:val="28"/>
    </w:rPr>
  </w:style>
  <w:style w:type="paragraph" w:customStyle="1" w:styleId="20">
    <w:name w:val="审报目录标题1-中"/>
    <w:basedOn w:val="14"/>
    <w:qFormat/>
    <w:uiPriority w:val="0"/>
    <w:pPr>
      <w:snapToGrid w:val="0"/>
      <w:spacing w:line="400" w:lineRule="exact"/>
      <w:jc w:val="left"/>
    </w:pPr>
    <w:rPr>
      <w:kern w:val="0"/>
      <w:sz w:val="28"/>
      <w:szCs w:val="28"/>
    </w:rPr>
  </w:style>
  <w:style w:type="paragraph" w:customStyle="1" w:styleId="21">
    <w:name w:val="审报目录标题2-中"/>
    <w:basedOn w:val="22"/>
    <w:qFormat/>
    <w:uiPriority w:val="0"/>
    <w:pPr>
      <w:snapToGrid w:val="0"/>
      <w:spacing w:line="400" w:lineRule="exact"/>
      <w:jc w:val="left"/>
    </w:pPr>
    <w:rPr>
      <w:rFonts w:ascii="楷体_GB2312"/>
      <w:szCs w:val="30"/>
    </w:rPr>
  </w:style>
  <w:style w:type="paragraph" w:customStyle="1" w:styleId="22">
    <w:name w:val="标题 2 New"/>
    <w:basedOn w:val="11"/>
    <w:next w:val="23"/>
    <w:qFormat/>
    <w:uiPriority w:val="0"/>
    <w:pPr>
      <w:keepNext/>
      <w:autoSpaceDE w:val="0"/>
      <w:autoSpaceDN w:val="0"/>
      <w:adjustRightInd w:val="0"/>
      <w:jc w:val="center"/>
      <w:outlineLvl w:val="1"/>
    </w:pPr>
    <w:rPr>
      <w:rFonts w:eastAsia="仿宋_GB2312"/>
      <w:b/>
      <w:bCs/>
      <w:sz w:val="28"/>
      <w:szCs w:val="28"/>
    </w:rPr>
  </w:style>
  <w:style w:type="paragraph" w:customStyle="1" w:styleId="23">
    <w:name w:val="正文缩进 New"/>
    <w:basedOn w:val="11"/>
    <w:qFormat/>
    <w:uiPriority w:val="0"/>
    <w:pPr>
      <w:ind w:firstLine="420"/>
    </w:pPr>
    <w:rPr>
      <w:szCs w:val="21"/>
    </w:rPr>
  </w:style>
  <w:style w:type="paragraph" w:customStyle="1" w:styleId="24">
    <w:name w:val="审报正文标题-中"/>
    <w:basedOn w:val="16"/>
    <w:qFormat/>
    <w:uiPriority w:val="0"/>
    <w:pPr>
      <w:snapToGrid w:val="0"/>
      <w:spacing w:line="400" w:lineRule="exact"/>
      <w:jc w:val="center"/>
    </w:pPr>
    <w:rPr>
      <w:rFonts w:eastAsia="仿宋_GB2312"/>
      <w:b/>
      <w:sz w:val="32"/>
      <w:szCs w:val="32"/>
      <w:lang w:val="en-GB"/>
    </w:rPr>
  </w:style>
  <w:style w:type="paragraph" w:customStyle="1" w:styleId="25">
    <w:name w:val="审报报表审计期间"/>
    <w:basedOn w:val="11"/>
    <w:qFormat/>
    <w:uiPriority w:val="0"/>
    <w:pPr>
      <w:snapToGrid w:val="0"/>
      <w:spacing w:line="240" w:lineRule="atLeast"/>
      <w:jc w:val="center"/>
    </w:pPr>
    <w:rPr>
      <w:rFonts w:eastAsia="仿宋_GB2312"/>
      <w:szCs w:val="28"/>
      <w:lang w:val="en-GB"/>
    </w:rPr>
  </w:style>
  <w:style w:type="paragraph" w:customStyle="1" w:styleId="26">
    <w:name w:val="正文 New New New New New New New"/>
    <w:next w:val="2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文本 New New New"/>
    <w:basedOn w:val="26"/>
    <w:qFormat/>
    <w:uiPriority w:val="0"/>
    <w:pPr>
      <w:widowControl/>
      <w:jc w:val="left"/>
    </w:pPr>
    <w:rPr>
      <w:sz w:val="24"/>
      <w:szCs w:val="24"/>
    </w:rPr>
  </w:style>
  <w:style w:type="paragraph" w:customStyle="1" w:styleId="28">
    <w:name w:val="正文 New New New New New New New New"/>
    <w:next w:val="2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
    <w:name w:val="正文文本 New New New New"/>
    <w:basedOn w:val="28"/>
    <w:qFormat/>
    <w:uiPriority w:val="0"/>
    <w:pPr>
      <w:widowControl/>
      <w:jc w:val="left"/>
    </w:pPr>
    <w:rPr>
      <w:sz w:val="24"/>
      <w:szCs w:val="24"/>
    </w:rPr>
  </w:style>
  <w:style w:type="paragraph" w:customStyle="1" w:styleId="30">
    <w:name w:val="正文 New New New New New New New New New"/>
    <w:next w:val="3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
    <w:name w:val="正文文本 New New New New New"/>
    <w:basedOn w:val="30"/>
    <w:qFormat/>
    <w:uiPriority w:val="0"/>
    <w:pPr>
      <w:widowControl/>
      <w:jc w:val="left"/>
    </w:pPr>
    <w:rPr>
      <w:sz w:val="24"/>
      <w:szCs w:val="24"/>
    </w:rPr>
  </w:style>
  <w:style w:type="paragraph" w:customStyle="1" w:styleId="32">
    <w:name w:val="审报报表数字"/>
    <w:basedOn w:val="11"/>
    <w:qFormat/>
    <w:uiPriority w:val="0"/>
    <w:pPr>
      <w:autoSpaceDE w:val="0"/>
      <w:autoSpaceDN w:val="0"/>
      <w:adjustRightInd w:val="0"/>
      <w:snapToGrid w:val="0"/>
      <w:spacing w:line="240" w:lineRule="atLeast"/>
      <w:jc w:val="right"/>
    </w:pPr>
    <w:rPr>
      <w:bCs/>
      <w:color w:val="000000"/>
      <w:sz w:val="15"/>
      <w:szCs w:val="15"/>
    </w:rPr>
  </w:style>
  <w:style w:type="paragraph" w:customStyle="1" w:styleId="33">
    <w:name w:val="目录标题2-中"/>
    <w:basedOn w:val="22"/>
    <w:qFormat/>
    <w:uiPriority w:val="0"/>
    <w:pPr>
      <w:snapToGrid w:val="0"/>
      <w:spacing w:line="400" w:lineRule="exact"/>
      <w:jc w:val="left"/>
    </w:pPr>
    <w:rPr>
      <w:rFonts w:ascii="楷体_GB2312"/>
      <w:szCs w:val="30"/>
    </w:rPr>
  </w:style>
  <w:style w:type="paragraph" w:customStyle="1" w:styleId="34">
    <w:name w:val="脚注文本 New New New"/>
    <w:basedOn w:val="30"/>
    <w:qFormat/>
    <w:uiPriority w:val="0"/>
    <w:pPr>
      <w:snapToGrid w:val="0"/>
      <w:jc w:val="left"/>
    </w:pPr>
    <w:rPr>
      <w:sz w:val="18"/>
    </w:rPr>
  </w:style>
  <w:style w:type="paragraph" w:customStyle="1" w:styleId="35">
    <w:name w:val="审报目录标题1-中 New"/>
    <w:basedOn w:val="36"/>
    <w:qFormat/>
    <w:uiPriority w:val="0"/>
    <w:pPr>
      <w:snapToGrid w:val="0"/>
      <w:spacing w:line="240" w:lineRule="auto"/>
      <w:jc w:val="both"/>
    </w:pPr>
    <w:rPr>
      <w:rFonts w:ascii="仿宋_GB2312"/>
      <w:color w:val="000000"/>
      <w:kern w:val="0"/>
      <w:sz w:val="28"/>
      <w:szCs w:val="28"/>
    </w:rPr>
  </w:style>
  <w:style w:type="paragraph" w:customStyle="1" w:styleId="36">
    <w:name w:val="标题 1 New New"/>
    <w:basedOn w:val="37"/>
    <w:next w:val="37"/>
    <w:qFormat/>
    <w:uiPriority w:val="0"/>
    <w:pPr>
      <w:keepNext/>
      <w:spacing w:line="420" w:lineRule="exact"/>
      <w:jc w:val="center"/>
      <w:outlineLvl w:val="0"/>
    </w:pPr>
    <w:rPr>
      <w:rFonts w:eastAsia="仿宋_GB2312"/>
      <w:b/>
      <w:bCs/>
      <w:sz w:val="32"/>
      <w:szCs w:val="32"/>
    </w:rPr>
  </w:style>
  <w:style w:type="paragraph" w:customStyle="1" w:styleId="37">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
    <w:name w:val="标题 1 New New New New New"/>
    <w:basedOn w:val="41"/>
    <w:next w:val="41"/>
    <w:qFormat/>
    <w:uiPriority w:val="0"/>
    <w:pPr>
      <w:jc w:val="left"/>
      <w:outlineLvl w:val="0"/>
    </w:pPr>
    <w:rPr>
      <w:rFonts w:hint="eastAsia" w:ascii="宋体" w:hAnsi="宋体" w:cs="宋体"/>
      <w:b/>
      <w:kern w:val="44"/>
      <w:sz w:val="30"/>
      <w:szCs w:val="48"/>
    </w:rPr>
  </w:style>
  <w:style w:type="paragraph" w:customStyle="1" w:styleId="41">
    <w:name w:val="正文 New New New New New New New New New New New New New New New"/>
    <w:next w:val="42"/>
    <w:qFormat/>
    <w:uiPriority w:val="0"/>
    <w:pPr>
      <w:widowControl w:val="0"/>
      <w:jc w:val="both"/>
    </w:pPr>
    <w:rPr>
      <w:rFonts w:ascii="Calibri" w:hAnsi="Calibri" w:eastAsia="宋体" w:cs="黑体"/>
      <w:kern w:val="2"/>
      <w:sz w:val="21"/>
      <w:szCs w:val="24"/>
      <w:lang w:val="en-US" w:eastAsia="zh-CN" w:bidi="ar-SA"/>
    </w:rPr>
  </w:style>
  <w:style w:type="paragraph" w:customStyle="1" w:styleId="42">
    <w:name w:val="正文文本 New New New New New New New New New New"/>
    <w:basedOn w:val="41"/>
    <w:qFormat/>
    <w:uiPriority w:val="0"/>
    <w:pPr>
      <w:widowControl/>
      <w:jc w:val="left"/>
    </w:pPr>
    <w:rPr>
      <w:sz w:val="24"/>
    </w:rPr>
  </w:style>
  <w:style w:type="paragraph" w:customStyle="1" w:styleId="43">
    <w:name w:val="正文 New New New New New New New New New New New New New"/>
    <w:qFormat/>
    <w:uiPriority w:val="0"/>
    <w:pPr>
      <w:widowControl w:val="0"/>
      <w:jc w:val="both"/>
    </w:pPr>
    <w:rPr>
      <w:rFonts w:ascii="Calibri" w:hAnsi="Calibri" w:eastAsia="宋体" w:cs="黑体"/>
      <w:kern w:val="2"/>
      <w:sz w:val="21"/>
      <w:lang w:val="en-US" w:eastAsia="zh-CN" w:bidi="ar-SA"/>
    </w:rPr>
  </w:style>
  <w:style w:type="paragraph" w:customStyle="1" w:styleId="44">
    <w:name w:val="正文 New New New New New New New New New New New New New New New New New"/>
    <w:next w:val="4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
    <w:name w:val="正文文本 New New New New New New New New New"/>
    <w:basedOn w:val="44"/>
    <w:qFormat/>
    <w:uiPriority w:val="0"/>
    <w:pPr>
      <w:widowControl/>
      <w:jc w:val="left"/>
    </w:pPr>
    <w:rPr>
      <w:sz w:val="24"/>
      <w:szCs w:val="24"/>
    </w:rPr>
  </w:style>
  <w:style w:type="paragraph" w:customStyle="1" w:styleId="46">
    <w:name w:val="正文 New New New New New New New New New New New New New New New New New New New New New New New New New New New New New New New New New New New New New New New New New New New New New New New New New New New New New New New New New New New New New New Ne1"/>
    <w:qFormat/>
    <w:uiPriority w:val="0"/>
    <w:pPr>
      <w:widowControl w:val="0"/>
      <w:jc w:val="both"/>
    </w:pPr>
    <w:rPr>
      <w:rFonts w:ascii="Times New Roman" w:hAnsi="Times New Roman" w:eastAsia="宋体" w:cstheme="minorBidi"/>
      <w:kern w:val="2"/>
      <w:sz w:val="21"/>
      <w:lang w:val="en-US" w:eastAsia="zh-CN" w:bidi="ar-SA"/>
    </w:rPr>
  </w:style>
  <w:style w:type="paragraph" w:customStyle="1" w:styleId="47">
    <w:name w:val="页脚 New"/>
    <w:basedOn w:val="11"/>
    <w:qFormat/>
    <w:uiPriority w:val="0"/>
    <w:pPr>
      <w:tabs>
        <w:tab w:val="center" w:pos="4153"/>
        <w:tab w:val="right" w:pos="8306"/>
      </w:tabs>
      <w:snapToGrid w:val="0"/>
      <w:jc w:val="left"/>
    </w:pPr>
    <w:rPr>
      <w:sz w:val="18"/>
    </w:rPr>
  </w:style>
  <w:style w:type="character" w:customStyle="1" w:styleId="48">
    <w:name w:val="页码 New"/>
    <w:basedOn w:val="8"/>
    <w:qFormat/>
    <w:uiPriority w:val="0"/>
  </w:style>
  <w:style w:type="character" w:customStyle="1" w:styleId="49">
    <w:name w:val="unnamed211"/>
    <w:basedOn w:val="8"/>
    <w:qFormat/>
    <w:uiPriority w:val="0"/>
    <w:rPr>
      <w:sz w:val="30"/>
      <w:szCs w:val="30"/>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1">
    <w:name w:val="审报目录标题1-英"/>
    <w:basedOn w:val="3"/>
    <w:qFormat/>
    <w:uiPriority w:val="0"/>
    <w:pPr>
      <w:spacing w:line="400" w:lineRule="exact"/>
      <w:jc w:val="both"/>
    </w:pPr>
    <w:rPr>
      <w:sz w:val="28"/>
      <w:szCs w:val="28"/>
      <w:lang w:val="en-GB"/>
    </w:rPr>
  </w:style>
  <w:style w:type="paragraph" w:customStyle="1" w:styleId="52">
    <w:name w:val="审报正文内容-英"/>
    <w:basedOn w:val="1"/>
    <w:qFormat/>
    <w:uiPriority w:val="0"/>
    <w:pPr>
      <w:spacing w:line="320" w:lineRule="exact"/>
    </w:pPr>
    <w:rPr>
      <w:kern w:val="2"/>
      <w:sz w:val="28"/>
      <w:lang w:val="en-US" w:eastAsia="zh-CN" w:bidi="ar-SA"/>
    </w:rPr>
  </w:style>
  <w:style w:type="paragraph" w:customStyle="1" w:styleId="53">
    <w:name w:val="审报正文联系方式-英"/>
    <w:basedOn w:val="54"/>
    <w:qFormat/>
    <w:uiPriority w:val="0"/>
  </w:style>
  <w:style w:type="paragraph" w:customStyle="1" w:styleId="54">
    <w:name w:val="审报正文抬头-英"/>
    <w:basedOn w:val="1"/>
    <w:qFormat/>
    <w:uiPriority w:val="0"/>
    <w:pPr>
      <w:snapToGrid w:val="0"/>
      <w:spacing w:line="320" w:lineRule="exact"/>
      <w:jc w:val="left"/>
    </w:pPr>
    <w:rPr>
      <w:rFonts w:eastAsia="Times New Roman"/>
      <w:sz w:val="28"/>
      <w:szCs w:val="28"/>
      <w:lang w:val="en-GB"/>
    </w:rPr>
  </w:style>
  <w:style w:type="paragraph" w:customStyle="1" w:styleId="55">
    <w:name w:val="审报正文标题-英"/>
    <w:basedOn w:val="1"/>
    <w:qFormat/>
    <w:uiPriority w:val="0"/>
    <w:pPr>
      <w:widowControl/>
      <w:spacing w:line="400" w:lineRule="exact"/>
      <w:jc w:val="center"/>
    </w:pPr>
    <w:rPr>
      <w:b/>
      <w:bCs/>
      <w:sz w:val="32"/>
      <w:szCs w:val="32"/>
      <w:lang w:val="en-US" w:eastAsia="zh-CN" w:bidi="ar-SA"/>
    </w:rPr>
  </w:style>
  <w:style w:type="character" w:customStyle="1" w:styleId="56">
    <w:name w:val="15"/>
    <w:basedOn w:val="8"/>
    <w:qFormat/>
    <w:uiPriority w:val="0"/>
    <w:rPr>
      <w:rFonts w:hint="default" w:ascii="Times New Roman" w:hAnsi="Times New Roman" w:cs="Times New Roman"/>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2022-04-21T08:58:00Z</dcterms:created>
  <dc:creator>何利（中心工作人员）</dc:creator>
  <cp:lastModifiedBy>lk</cp:lastModifiedBy>
  <cp:lastPrinted>2022-06-12T06:23:00Z</cp:lastPrinted>
  <dcterms:modified xsi:type="dcterms:W3CDTF">2022-08-29T07:12:36Z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gwk">
    <vt:lpwstr>true</vt:lpwstr>
  </property>
  <property fmtid="{D5CDD505-2E9C-101B-9397-08002B2CF9AE}" pid="4" name="handleFileFlag">
    <vt:lpwstr>1</vt:lpwstr>
  </property>
  <property fmtid="{D5CDD505-2E9C-101B-9397-08002B2CF9AE}" pid="5" name="openType">
    <vt:lpwstr>0</vt:lpwstr>
  </property>
  <property fmtid="{D5CDD505-2E9C-101B-9397-08002B2CF9AE}" pid="6" name="showFlag">
    <vt:lpwstr>true</vt:lpwstr>
  </property>
  <property fmtid="{D5CDD505-2E9C-101B-9397-08002B2CF9AE}" pid="7" name="close">
    <vt:lpwstr>true</vt:lpwstr>
  </property>
  <property fmtid="{D5CDD505-2E9C-101B-9397-08002B2CF9AE}" pid="8" name="docId">
    <vt:r8>1656376416761.13</vt:r8>
  </property>
  <property fmtid="{D5CDD505-2E9C-101B-9397-08002B2CF9AE}" pid="9" name="fileName">
    <vt:lpwstr>https://oa.scaudit.gov.cn:8443/file/1aQr1imlxbbWqTQjnR0ygCs.docx?type=wps&amp;OSS_FLAG=1</vt:lpwstr>
  </property>
  <property fmtid="{D5CDD505-2E9C-101B-9397-08002B2CF9AE}" pid="10" name="fileTextName">
    <vt:lpwstr>亚行资阳项目审计报告（代拟稿）.docx</vt:lpwstr>
  </property>
  <property fmtid="{D5CDD505-2E9C-101B-9397-08002B2CF9AE}" pid="11" name="orgDocId">
    <vt:lpwstr>1aQr1imlxbbWqTQjnR0ygCs.docx</vt:lpwstr>
  </property>
  <property fmtid="{D5CDD505-2E9C-101B-9397-08002B2CF9AE}" pid="12" name="saveOriginFile">
    <vt:i4>3</vt:i4>
  </property>
  <property fmtid="{D5CDD505-2E9C-101B-9397-08002B2CF9AE}" pid="13" name="uploadNewPath">
    <vt:lpwstr>https://oa.scaudit.gov.cn:8443/file?listener=OA_GW_GONGWEN&amp;hisType=ZHENGWEN&amp;fileFlowType=文印室&amp;ifGuiDang=1&amp;orgDocId=1aQr1imlxbbWqTQjnR0ygCs.docx&amp;docId=1656376416761.134&amp;dataId=3VSCKKnnF4EGQDi82dgTP5&amp;fileName=亚行资阳项目审计报告（代拟稿）.docx&amp;itemCode=WENGAO&amp;keepMetaData=true&amp;type=wps&amp;NIID=2g24DzmoJ1XaNCazXR7XD0&amp;servId=OA_GW_GONGWEN_TPB_YWFW_SJT&amp;X-XSRF-TOKEN=841c10aca587e5f9b19807c1901b2a7b&amp;X-DEVICE-NAME=@USER_CODE@&amp;OSS_FLAG=1</vt:lpwstr>
  </property>
  <property fmtid="{D5CDD505-2E9C-101B-9397-08002B2CF9AE}" pid="14" name="uploadPath">
    <vt:lpwstr>https://oa.scaudit.gov.cn:8443/file/1aQr1imlxbbWqTQjnR0ygCs.docx?keepMetaData=true&amp;type=wps&amp;NIID=2g24DzmoJ1XaNCazXR7XD0&amp;model=saveHist&amp;QINGGAOTYPE=FEIQINGGAO&amp;X-XSRF-TOKEN=841c10aca587e5f9b19807c1901b2a7b&amp;X-DEVICE-NAME=@USER_CODE@&amp;OSS_FLAG=1</vt:lpwstr>
  </property>
  <property fmtid="{D5CDD505-2E9C-101B-9397-08002B2CF9AE}" pid="15" name="ribbonExt">
    <vt:lpwstr>{"WPSExtOfficeTab":{"OnGetEnabled":true,"OnGetVisible":true},"btnClearRevDoc":{"GetImage":"icon/clearComments.png","OnGetEnabled":true,"OnGetLabel":"清稿","OnGetVisible":true}}</vt:lpwstr>
  </property>
  <property fmtid="{D5CDD505-2E9C-101B-9397-08002B2CF9AE}" pid="16" name="docName">
    <vt:lpwstr>亚行资阳项目审计报告（代拟稿）.docx</vt:lpwstr>
  </property>
</Properties>
</file>