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right="0" w:rightChars="0" w:firstLine="0" w:firstLineChars="0"/>
        <w:jc w:val="center"/>
        <w:rPr>
          <w:rFonts w:hint="eastAsia"/>
          <w:lang w:val="en-US" w:eastAsia="zh-CN"/>
        </w:rPr>
      </w:pPr>
      <w:bookmarkStart w:id="17" w:name="_GoBack"/>
      <w:r>
        <w:rPr>
          <w:rFonts w:hint="eastAsia"/>
          <w:lang w:val="en-US" w:eastAsia="zh-CN"/>
        </w:rPr>
        <w:t>世界银行贷款芦山地震灾后恢复重建项目-城建子项目审计结果</w:t>
      </w:r>
    </w:p>
    <w:bookmarkEnd w:id="17"/>
    <w:p>
      <w:pPr>
        <w:pStyle w:val="7"/>
        <w:ind w:left="0" w:leftChars="0" w:right="0" w:rightChars="0" w:firstLine="0" w:firstLineChars="0"/>
        <w:jc w:val="center"/>
        <w:rPr>
          <w:rFonts w:hint="eastAsia" w:ascii="Times New Roman"/>
          <w:b/>
          <w:bCs/>
          <w:snapToGrid w:val="0"/>
          <w:kern w:val="0"/>
          <w:lang w:val="en-US" w:eastAsia="zh-CN"/>
        </w:rPr>
      </w:pPr>
    </w:p>
    <w:p>
      <w:pPr>
        <w:pStyle w:val="9"/>
        <w:rPr>
          <w:rFonts w:eastAsia="仿宋_GB2312"/>
          <w:b/>
          <w:bCs/>
          <w:snapToGrid w:val="0"/>
          <w:kern w:val="0"/>
          <w:sz w:val="28"/>
          <w:szCs w:val="28"/>
          <w:highlight w:val="none"/>
          <w:lang w:val="en-US" w:eastAsia="zh-CN" w:bidi="ar-SA"/>
        </w:rPr>
      </w:pPr>
      <w:bookmarkStart w:id="0" w:name="_Toc516757249"/>
      <w:r>
        <w:rPr>
          <w:rFonts w:eastAsia="仿宋_GB2312"/>
          <w:b/>
          <w:bCs/>
          <w:snapToGrid w:val="0"/>
          <w:kern w:val="0"/>
          <w:sz w:val="28"/>
          <w:szCs w:val="28"/>
          <w:highlight w:val="none"/>
          <w:lang w:val="en-US" w:eastAsia="zh-CN" w:bidi="ar-SA"/>
        </w:rPr>
        <w:t>一、审计师意见</w:t>
      </w:r>
      <w:bookmarkEnd w:id="0"/>
    </w:p>
    <w:p>
      <w:pPr>
        <w:pStyle w:val="11"/>
        <w:tabs>
          <w:tab w:val="left" w:pos="40"/>
        </w:tabs>
        <w:spacing w:line="400" w:lineRule="exact"/>
        <w:rPr>
          <w:rFonts w:eastAsia="仿宋_GB2312"/>
          <w:snapToGrid w:val="0"/>
          <w:kern w:val="0"/>
          <w:sz w:val="28"/>
          <w:szCs w:val="28"/>
          <w:highlight w:val="none"/>
          <w:lang w:val="en-US" w:eastAsia="zh-CN" w:bidi="ar-SA"/>
        </w:rPr>
      </w:pPr>
    </w:p>
    <w:p>
      <w:pPr>
        <w:pStyle w:val="12"/>
        <w:rPr>
          <w:rFonts w:eastAsia="仿宋_GB2312"/>
          <w:b/>
          <w:snapToGrid w:val="0"/>
          <w:kern w:val="0"/>
          <w:sz w:val="32"/>
          <w:szCs w:val="32"/>
          <w:highlight w:val="none"/>
          <w:lang w:val="en-GB" w:eastAsia="zh-CN" w:bidi="ar-SA"/>
        </w:rPr>
      </w:pPr>
      <w:r>
        <w:rPr>
          <w:rFonts w:eastAsia="仿宋_GB2312"/>
          <w:b/>
          <w:bCs/>
          <w:snapToGrid w:val="0"/>
          <w:kern w:val="0"/>
          <w:sz w:val="32"/>
          <w:szCs w:val="32"/>
          <w:highlight w:val="none"/>
          <w:lang w:val="en-GB" w:eastAsia="zh-CN" w:bidi="ar-SA"/>
        </w:rPr>
        <w:t>审计师意见</w:t>
      </w:r>
    </w:p>
    <w:p>
      <w:pPr>
        <w:pStyle w:val="11"/>
        <w:tabs>
          <w:tab w:val="left" w:pos="40"/>
        </w:tabs>
        <w:spacing w:line="400" w:lineRule="exact"/>
        <w:ind w:left="45"/>
        <w:jc w:val="center"/>
        <w:rPr>
          <w:rFonts w:eastAsia="仿宋_GB2312"/>
          <w:b/>
          <w:snapToGrid w:val="0"/>
          <w:kern w:val="0"/>
          <w:sz w:val="28"/>
          <w:szCs w:val="28"/>
          <w:highlight w:val="none"/>
          <w:lang w:val="en-US" w:eastAsia="zh-CN" w:bidi="ar-SA"/>
        </w:rPr>
      </w:pPr>
    </w:p>
    <w:p>
      <w:pPr>
        <w:pStyle w:val="7"/>
        <w:ind w:firstLine="0" w:firstLineChars="0"/>
        <w:rPr>
          <w:rFonts w:ascii="仿宋_GB2312" w:eastAsia="仿宋_GB2312"/>
          <w:snapToGrid w:val="0"/>
          <w:kern w:val="0"/>
          <w:sz w:val="28"/>
          <w:szCs w:val="28"/>
          <w:highlight w:val="none"/>
          <w:lang w:val="en-US" w:eastAsia="zh-CN" w:bidi="ar-SA"/>
        </w:rPr>
      </w:pPr>
      <w:r>
        <w:rPr>
          <w:rFonts w:ascii="仿宋_GB2312" w:eastAsia="仿宋_GB2312"/>
          <w:snapToGrid w:val="0"/>
          <w:kern w:val="0"/>
          <w:sz w:val="28"/>
          <w:szCs w:val="28"/>
          <w:highlight w:val="none"/>
          <w:lang w:val="en-US" w:eastAsia="zh-CN" w:bidi="ar-SA"/>
        </w:rPr>
        <w:t>四川省人民政府水资源规划城建环保项目领导小组办公室：</w:t>
      </w:r>
    </w:p>
    <w:p>
      <w:pPr>
        <w:pStyle w:val="11"/>
        <w:spacing w:line="400" w:lineRule="exact"/>
        <w:rPr>
          <w:rFonts w:eastAsia="仿宋_GB2312"/>
          <w:snapToGrid w:val="0"/>
          <w:kern w:val="0"/>
          <w:sz w:val="28"/>
          <w:szCs w:val="28"/>
          <w:highlight w:val="none"/>
          <w:lang w:val="en-US" w:eastAsia="zh-CN" w:bidi="ar-SA"/>
        </w:rPr>
      </w:pPr>
      <w:r>
        <w:rPr>
          <w:rFonts w:eastAsia="仿宋_GB2312"/>
          <w:snapToGrid w:val="0"/>
          <w:kern w:val="0"/>
          <w:sz w:val="28"/>
          <w:szCs w:val="28"/>
          <w:highlight w:val="none"/>
          <w:lang w:val="en-US" w:eastAsia="zh-CN" w:bidi="ar-SA"/>
        </w:rPr>
        <w:t xml:space="preserve"> </w:t>
      </w:r>
    </w:p>
    <w:p>
      <w:pPr>
        <w:pStyle w:val="7"/>
        <w:rPr>
          <w:rFonts w:ascii="Times New Roman" w:eastAsia="仿宋_GB2312"/>
          <w:bCs/>
          <w:snapToGrid w:val="0"/>
          <w:kern w:val="0"/>
          <w:sz w:val="28"/>
          <w:szCs w:val="28"/>
          <w:highlight w:val="none"/>
          <w:lang w:val="en-US" w:eastAsia="zh-CN" w:bidi="ar-SA"/>
        </w:rPr>
      </w:pPr>
      <w:r>
        <w:rPr>
          <w:rFonts w:ascii="仿宋_GB2312" w:eastAsia="仿宋_GB2312"/>
          <w:snapToGrid w:val="0"/>
          <w:kern w:val="0"/>
          <w:sz w:val="28"/>
          <w:szCs w:val="28"/>
          <w:highlight w:val="none"/>
          <w:lang w:val="en-US" w:eastAsia="zh-CN" w:bidi="ar-SA"/>
        </w:rPr>
        <w:t>我们审计了世界银行贷款</w:t>
      </w:r>
      <w:r>
        <w:rPr>
          <w:rFonts w:hint="eastAsia" w:ascii="仿宋_GB2312" w:eastAsia="仿宋_GB2312"/>
          <w:snapToGrid w:val="0"/>
          <w:kern w:val="0"/>
          <w:sz w:val="28"/>
          <w:szCs w:val="28"/>
          <w:highlight w:val="none"/>
          <w:lang w:val="en-US" w:eastAsia="zh-CN" w:bidi="ar-SA"/>
        </w:rPr>
        <w:t>芦山</w:t>
      </w:r>
      <w:r>
        <w:rPr>
          <w:rFonts w:ascii="仿宋_GB2312" w:eastAsia="仿宋_GB2312"/>
          <w:snapToGrid w:val="0"/>
          <w:kern w:val="0"/>
          <w:sz w:val="28"/>
          <w:szCs w:val="28"/>
          <w:highlight w:val="none"/>
          <w:lang w:val="en-US" w:eastAsia="zh-CN" w:bidi="ar-SA"/>
        </w:rPr>
        <w:t>地震灾后</w:t>
      </w:r>
      <w:r>
        <w:rPr>
          <w:rFonts w:hint="eastAsia" w:ascii="仿宋_GB2312" w:eastAsia="仿宋_GB2312"/>
          <w:snapToGrid w:val="0"/>
          <w:kern w:val="0"/>
          <w:sz w:val="28"/>
          <w:szCs w:val="28"/>
          <w:highlight w:val="none"/>
          <w:lang w:val="en-US" w:eastAsia="zh-CN" w:bidi="ar-SA"/>
        </w:rPr>
        <w:t>恢复</w:t>
      </w:r>
      <w:r>
        <w:rPr>
          <w:rFonts w:ascii="仿宋_GB2312" w:eastAsia="仿宋_GB2312"/>
          <w:snapToGrid w:val="0"/>
          <w:kern w:val="0"/>
          <w:sz w:val="28"/>
          <w:szCs w:val="28"/>
          <w:highlight w:val="none"/>
          <w:lang w:val="en-US" w:eastAsia="zh-CN" w:bidi="ar-SA"/>
        </w:rPr>
        <w:t>重建项目-城建子项目</w:t>
      </w:r>
      <w:r>
        <w:rPr>
          <w:rFonts w:hint="eastAsia" w:ascii="仿宋_GB2312" w:eastAsia="仿宋_GB2312"/>
          <w:snapToGrid w:val="0"/>
          <w:kern w:val="0"/>
          <w:sz w:val="28"/>
          <w:szCs w:val="28"/>
          <w:highlight w:val="none"/>
          <w:lang w:val="en-US" w:eastAsia="zh-CN" w:bidi="ar-SA"/>
        </w:rPr>
        <w:t>2019</w:t>
      </w:r>
      <w:r>
        <w:rPr>
          <w:rFonts w:ascii="仿宋_GB2312" w:eastAsia="仿宋_GB2312"/>
          <w:snapToGrid w:val="0"/>
          <w:kern w:val="0"/>
          <w:sz w:val="28"/>
          <w:szCs w:val="28"/>
          <w:highlight w:val="none"/>
          <w:lang w:val="en-US" w:eastAsia="zh-CN" w:bidi="ar-SA"/>
        </w:rPr>
        <w:t>年12月31日的资金平衡表及截至该日同年度的项目进度表、贷款协定执行情况表和指定账户报表等特定目的财务报表及财务报表附注。</w:t>
      </w:r>
    </w:p>
    <w:p>
      <w:pPr>
        <w:pStyle w:val="7"/>
        <w:jc w:val="center"/>
        <w:rPr>
          <w:rFonts w:ascii="Times New Roman" w:eastAsia="仿宋_GB2312"/>
          <w:snapToGrid w:val="0"/>
          <w:kern w:val="0"/>
          <w:sz w:val="28"/>
          <w:szCs w:val="28"/>
          <w:highlight w:val="none"/>
          <w:lang w:val="en-US" w:eastAsia="zh-CN" w:bidi="ar-SA"/>
        </w:rPr>
      </w:pPr>
    </w:p>
    <w:p>
      <w:pPr>
        <w:pStyle w:val="14"/>
        <w:rPr>
          <w:rFonts w:eastAsia="宋体"/>
          <w:b/>
          <w:snapToGrid w:val="0"/>
          <w:kern w:val="0"/>
          <w:sz w:val="28"/>
          <w:szCs w:val="28"/>
          <w:highlight w:val="none"/>
          <w:lang w:val="en-US" w:eastAsia="zh-CN" w:bidi="ar-SA"/>
        </w:rPr>
      </w:pPr>
      <w:r>
        <w:rPr>
          <w:rFonts w:eastAsia="宋体"/>
          <w:b/>
          <w:bCs/>
          <w:snapToGrid w:val="0"/>
          <w:kern w:val="0"/>
          <w:sz w:val="28"/>
          <w:szCs w:val="28"/>
          <w:highlight w:val="none"/>
          <w:lang w:val="en-US" w:eastAsia="zh-CN" w:bidi="ar-SA"/>
        </w:rPr>
        <w:t>（一）项目执行机构及四川省财政厅对财务报表的责任</w:t>
      </w:r>
    </w:p>
    <w:p>
      <w:pPr>
        <w:pStyle w:val="14"/>
        <w:rPr>
          <w:rFonts w:eastAsia="仿宋_GB2312"/>
          <w:snapToGrid w:val="0"/>
          <w:kern w:val="0"/>
          <w:sz w:val="28"/>
          <w:szCs w:val="28"/>
          <w:highlight w:val="none"/>
          <w:lang w:val="en-US" w:eastAsia="zh-CN" w:bidi="ar-SA"/>
        </w:rPr>
      </w:pPr>
    </w:p>
    <w:p>
      <w:pPr>
        <w:pStyle w:val="14"/>
        <w:rPr>
          <w:rFonts w:eastAsia="仿宋_GB2312"/>
          <w:snapToGrid w:val="0"/>
          <w:kern w:val="0"/>
          <w:sz w:val="28"/>
          <w:szCs w:val="28"/>
          <w:highlight w:val="none"/>
          <w:lang w:val="en-US" w:eastAsia="zh-CN" w:bidi="ar-SA"/>
        </w:rPr>
      </w:pPr>
      <w:r>
        <w:rPr>
          <w:rFonts w:eastAsia="仿宋_GB2312"/>
          <w:snapToGrid w:val="0"/>
          <w:kern w:val="0"/>
          <w:sz w:val="28"/>
          <w:szCs w:val="28"/>
          <w:highlight w:val="none"/>
          <w:lang w:val="en-US" w:eastAsia="zh-CN" w:bidi="ar-SA"/>
        </w:rPr>
        <w:t>编制上述财务报表中的资金平衡表、项目进度表及贷款协定执行情况表是你办的责任，编制指定账户报表是四川省财政厅的责任，这种责任包括：</w:t>
      </w:r>
    </w:p>
    <w:p>
      <w:pPr>
        <w:pStyle w:val="14"/>
        <w:rPr>
          <w:rFonts w:eastAsia="仿宋_GB2312"/>
          <w:snapToGrid w:val="0"/>
          <w:kern w:val="0"/>
          <w:sz w:val="28"/>
          <w:szCs w:val="28"/>
          <w:highlight w:val="none"/>
          <w:lang w:val="en-US" w:eastAsia="zh-CN" w:bidi="ar-SA"/>
        </w:rPr>
      </w:pPr>
      <w:r>
        <w:rPr>
          <w:rFonts w:eastAsia="仿宋_GB2312"/>
          <w:snapToGrid w:val="0"/>
          <w:kern w:val="0"/>
          <w:sz w:val="28"/>
          <w:szCs w:val="28"/>
          <w:highlight w:val="none"/>
          <w:lang w:val="en-US" w:eastAsia="zh-CN" w:bidi="ar-SA"/>
        </w:rPr>
        <w:t>1．按照中国的会计准则、会计制度和本项目贷款协定的要求编制项目财务报表，并使其实现公允反映；</w:t>
      </w:r>
    </w:p>
    <w:p>
      <w:pPr>
        <w:pStyle w:val="14"/>
        <w:rPr>
          <w:rFonts w:eastAsia="仿宋_GB2312"/>
          <w:snapToGrid w:val="0"/>
          <w:kern w:val="0"/>
          <w:sz w:val="28"/>
          <w:szCs w:val="28"/>
          <w:highlight w:val="none"/>
          <w:lang w:val="en-US" w:eastAsia="zh-CN" w:bidi="ar-SA"/>
        </w:rPr>
      </w:pPr>
      <w:r>
        <w:rPr>
          <w:rFonts w:eastAsia="仿宋_GB2312"/>
          <w:snapToGrid w:val="0"/>
          <w:kern w:val="0"/>
          <w:sz w:val="28"/>
          <w:szCs w:val="28"/>
          <w:highlight w:val="none"/>
          <w:lang w:val="en-US" w:eastAsia="zh-CN" w:bidi="ar-SA"/>
        </w:rPr>
        <w:t>2．设计、执行和维护必要的内部控制，以使项目财务报表不存在由于舞弊或错误而导致的重大错报。</w:t>
      </w:r>
    </w:p>
    <w:p>
      <w:pPr>
        <w:pStyle w:val="14"/>
        <w:rPr>
          <w:rFonts w:eastAsia="仿宋_GB2312"/>
          <w:snapToGrid w:val="0"/>
          <w:kern w:val="0"/>
          <w:sz w:val="28"/>
          <w:szCs w:val="28"/>
          <w:highlight w:val="none"/>
          <w:lang w:val="en-US" w:eastAsia="zh-CN" w:bidi="ar-SA"/>
        </w:rPr>
      </w:pPr>
    </w:p>
    <w:p>
      <w:pPr>
        <w:pStyle w:val="14"/>
        <w:rPr>
          <w:rFonts w:eastAsia="宋体"/>
          <w:b/>
          <w:snapToGrid w:val="0"/>
          <w:kern w:val="0"/>
          <w:sz w:val="28"/>
          <w:szCs w:val="28"/>
          <w:highlight w:val="none"/>
          <w:lang w:val="en-US" w:eastAsia="zh-CN" w:bidi="ar-SA"/>
        </w:rPr>
      </w:pPr>
      <w:r>
        <w:rPr>
          <w:rFonts w:eastAsia="宋体"/>
          <w:b/>
          <w:bCs/>
          <w:snapToGrid w:val="0"/>
          <w:kern w:val="0"/>
          <w:sz w:val="28"/>
          <w:szCs w:val="28"/>
          <w:highlight w:val="none"/>
          <w:lang w:val="en-US" w:eastAsia="zh-CN" w:bidi="ar-SA"/>
        </w:rPr>
        <w:t>（二）审计责任</w:t>
      </w:r>
    </w:p>
    <w:p>
      <w:pPr>
        <w:pStyle w:val="14"/>
        <w:rPr>
          <w:rFonts w:eastAsia="仿宋_GB2312"/>
          <w:snapToGrid w:val="0"/>
          <w:kern w:val="0"/>
          <w:sz w:val="28"/>
          <w:szCs w:val="28"/>
          <w:highlight w:val="none"/>
          <w:lang w:val="en-US" w:eastAsia="zh-CN" w:bidi="ar-SA"/>
        </w:rPr>
      </w:pPr>
    </w:p>
    <w:p>
      <w:pPr>
        <w:pStyle w:val="14"/>
        <w:rPr>
          <w:rFonts w:eastAsia="仿宋_GB2312"/>
          <w:snapToGrid w:val="0"/>
          <w:kern w:val="0"/>
          <w:sz w:val="28"/>
          <w:szCs w:val="28"/>
          <w:highlight w:val="none"/>
          <w:lang w:val="en-US" w:eastAsia="zh-CN" w:bidi="ar-SA"/>
        </w:rPr>
      </w:pPr>
      <w:r>
        <w:rPr>
          <w:rFonts w:eastAsia="仿宋_GB2312"/>
          <w:snapToGrid w:val="0"/>
          <w:kern w:val="0"/>
          <w:sz w:val="28"/>
          <w:szCs w:val="28"/>
          <w:highlight w:val="none"/>
          <w:lang w:val="en-US" w:eastAsia="zh-CN" w:bidi="ar-SA"/>
        </w:rPr>
        <w:t>我们的责任是在执行审计工作的基础上对财务报表发表审计意见。我们按照中国国家审计准则和国际审计准则的规定执行了审计工作，上述准则要求我们遵守审计职业要求，计划和执行审计工作以对项目财务报表是否不存在重大错报获取合理保证。</w:t>
      </w:r>
    </w:p>
    <w:p>
      <w:pPr>
        <w:pStyle w:val="14"/>
        <w:rPr>
          <w:rFonts w:eastAsia="仿宋_GB2312"/>
          <w:snapToGrid w:val="0"/>
          <w:kern w:val="0"/>
          <w:sz w:val="28"/>
          <w:szCs w:val="28"/>
          <w:highlight w:val="none"/>
          <w:lang w:val="en-US" w:eastAsia="zh-CN" w:bidi="ar-SA"/>
        </w:rPr>
      </w:pPr>
      <w:r>
        <w:rPr>
          <w:rFonts w:eastAsia="仿宋_GB2312"/>
          <w:snapToGrid w:val="0"/>
          <w:kern w:val="0"/>
          <w:sz w:val="28"/>
          <w:szCs w:val="28"/>
          <w:highlight w:val="none"/>
          <w:lang w:val="en-US" w:eastAsia="zh-CN" w:bidi="ar-SA"/>
        </w:rPr>
        <w:t>为获取有关财务报表金额和披露信息的有关证据，我们实施了必要的审计程序。我们运用职业判断选择审计程序，这些程序包括对由于舞弊或错误导致的财务报表重大错报风险的评估。在进行风险评估时，为了设计恰当的审计程序，我们考虑了与财务报表相关的内部控制，但目的并非对内部控制的有效性发表意见。审计工作还包括评价所选用会计政策的恰当性和作出会计估计的合理性，以及评价财务报表的总体列报。</w:t>
      </w:r>
    </w:p>
    <w:p>
      <w:pPr>
        <w:pStyle w:val="14"/>
        <w:rPr>
          <w:rFonts w:eastAsia="仿宋_GB2312"/>
          <w:snapToGrid w:val="0"/>
          <w:kern w:val="0"/>
          <w:sz w:val="28"/>
          <w:szCs w:val="28"/>
          <w:highlight w:val="none"/>
          <w:lang w:val="en-US" w:eastAsia="zh-CN" w:bidi="ar-SA"/>
        </w:rPr>
      </w:pPr>
      <w:r>
        <w:rPr>
          <w:rFonts w:eastAsia="仿宋_GB2312"/>
          <w:snapToGrid w:val="0"/>
          <w:kern w:val="0"/>
          <w:sz w:val="28"/>
          <w:szCs w:val="28"/>
          <w:highlight w:val="none"/>
          <w:lang w:val="en-US" w:eastAsia="zh-CN" w:bidi="ar-SA"/>
        </w:rPr>
        <w:t>我们相信，我们获取的审计证据是适当的、充分的，为发表审计意见提供了基础。</w:t>
      </w:r>
    </w:p>
    <w:p>
      <w:pPr>
        <w:pStyle w:val="14"/>
        <w:rPr>
          <w:rFonts w:eastAsia="仿宋_GB2312"/>
          <w:snapToGrid w:val="0"/>
          <w:kern w:val="0"/>
          <w:sz w:val="28"/>
          <w:szCs w:val="28"/>
          <w:highlight w:val="none"/>
          <w:lang w:val="en-US" w:eastAsia="zh-CN" w:bidi="ar-SA"/>
        </w:rPr>
      </w:pPr>
    </w:p>
    <w:p>
      <w:pPr>
        <w:pStyle w:val="11"/>
        <w:spacing w:line="400" w:lineRule="exact"/>
        <w:ind w:firstLine="560" w:firstLineChars="200"/>
        <w:rPr>
          <w:b/>
          <w:snapToGrid w:val="0"/>
          <w:kern w:val="0"/>
          <w:sz w:val="28"/>
          <w:szCs w:val="28"/>
          <w:highlight w:val="none"/>
          <w:lang w:val="en-US" w:eastAsia="zh-CN" w:bidi="ar-SA"/>
        </w:rPr>
      </w:pPr>
      <w:r>
        <w:rPr>
          <w:b/>
          <w:bCs/>
          <w:snapToGrid w:val="0"/>
          <w:kern w:val="0"/>
          <w:sz w:val="28"/>
          <w:szCs w:val="28"/>
          <w:highlight w:val="none"/>
          <w:lang w:val="en-US" w:eastAsia="zh-CN" w:bidi="ar-SA"/>
        </w:rPr>
        <w:t>（三）审计意见</w:t>
      </w:r>
    </w:p>
    <w:p>
      <w:pPr>
        <w:pStyle w:val="14"/>
        <w:rPr>
          <w:rFonts w:eastAsia="仿宋_GB2312"/>
          <w:snapToGrid w:val="0"/>
          <w:kern w:val="0"/>
          <w:sz w:val="28"/>
          <w:szCs w:val="28"/>
          <w:highlight w:val="none"/>
          <w:lang w:val="en-US" w:eastAsia="zh-CN" w:bidi="ar-SA"/>
        </w:rPr>
      </w:pPr>
    </w:p>
    <w:p>
      <w:pPr>
        <w:pStyle w:val="14"/>
        <w:rPr>
          <w:rFonts w:eastAsia="仿宋_GB2312"/>
          <w:snapToGrid w:val="0"/>
          <w:kern w:val="0"/>
          <w:sz w:val="28"/>
          <w:szCs w:val="28"/>
          <w:highlight w:val="none"/>
          <w:lang w:val="en-US" w:eastAsia="zh-CN" w:bidi="ar-SA"/>
        </w:rPr>
      </w:pPr>
      <w:r>
        <w:rPr>
          <w:rFonts w:eastAsia="仿宋_GB2312"/>
          <w:snapToGrid w:val="0"/>
          <w:kern w:val="0"/>
          <w:sz w:val="28"/>
          <w:szCs w:val="28"/>
          <w:highlight w:val="none"/>
          <w:lang w:val="en-US" w:eastAsia="zh-CN" w:bidi="ar-SA"/>
        </w:rPr>
        <w:t>我们认为，第一段所列财务报表在所有重大方面按照中国的会计准则、会计制度和本项目贷款协定的要求编制，公允反映了</w:t>
      </w:r>
      <w:r>
        <w:rPr>
          <w:rFonts w:hint="eastAsia" w:eastAsia="仿宋_GB2312"/>
          <w:snapToGrid w:val="0"/>
          <w:kern w:val="0"/>
          <w:sz w:val="28"/>
          <w:szCs w:val="28"/>
          <w:highlight w:val="none"/>
          <w:lang w:val="en-US" w:eastAsia="zh-CN" w:bidi="ar-SA"/>
        </w:rPr>
        <w:t>芦山</w:t>
      </w:r>
      <w:r>
        <w:rPr>
          <w:rFonts w:eastAsia="仿宋_GB2312"/>
          <w:snapToGrid w:val="0"/>
          <w:kern w:val="0"/>
          <w:sz w:val="28"/>
          <w:szCs w:val="28"/>
          <w:highlight w:val="none"/>
          <w:lang w:val="en-US" w:eastAsia="zh-CN" w:bidi="ar-SA"/>
        </w:rPr>
        <w:t>地震</w:t>
      </w:r>
      <w:r>
        <w:rPr>
          <w:rFonts w:hint="eastAsia" w:eastAsia="仿宋_GB2312"/>
          <w:snapToGrid w:val="0"/>
          <w:kern w:val="0"/>
          <w:sz w:val="28"/>
          <w:szCs w:val="28"/>
          <w:highlight w:val="none"/>
          <w:lang w:val="en-US" w:eastAsia="zh-CN" w:bidi="ar-SA"/>
        </w:rPr>
        <w:t>灾后恢复重建项目</w:t>
      </w:r>
      <w:r>
        <w:rPr>
          <w:rFonts w:eastAsia="仿宋_GB2312"/>
          <w:snapToGrid w:val="0"/>
          <w:kern w:val="0"/>
          <w:sz w:val="28"/>
          <w:szCs w:val="28"/>
          <w:highlight w:val="none"/>
          <w:lang w:val="en-US" w:eastAsia="zh-CN" w:bidi="ar-SA"/>
        </w:rPr>
        <w:t>-城建子项目</w:t>
      </w:r>
      <w:r>
        <w:rPr>
          <w:rFonts w:hint="eastAsia" w:eastAsia="仿宋_GB2312"/>
          <w:snapToGrid w:val="0"/>
          <w:kern w:val="0"/>
          <w:sz w:val="28"/>
          <w:szCs w:val="28"/>
          <w:highlight w:val="none"/>
          <w:lang w:val="en-US" w:eastAsia="zh-CN" w:bidi="ar-SA"/>
        </w:rPr>
        <w:t>2019</w:t>
      </w:r>
      <w:r>
        <w:rPr>
          <w:rFonts w:eastAsia="仿宋_GB2312"/>
          <w:snapToGrid w:val="0"/>
          <w:kern w:val="0"/>
          <w:sz w:val="28"/>
          <w:szCs w:val="28"/>
          <w:highlight w:val="none"/>
          <w:lang w:val="en-US" w:eastAsia="zh-CN" w:bidi="ar-SA"/>
        </w:rPr>
        <w:t>年12月31日的财务状况及截至该日同年度的财务收支、项目执行和指定账户收支情况。</w:t>
      </w:r>
    </w:p>
    <w:p>
      <w:pPr>
        <w:pStyle w:val="14"/>
        <w:rPr>
          <w:rFonts w:eastAsia="仿宋_GB2312"/>
          <w:snapToGrid w:val="0"/>
          <w:kern w:val="0"/>
          <w:sz w:val="28"/>
          <w:szCs w:val="28"/>
          <w:highlight w:val="none"/>
          <w:lang w:val="en-US" w:eastAsia="zh-CN" w:bidi="ar-SA"/>
        </w:rPr>
      </w:pPr>
    </w:p>
    <w:p>
      <w:pPr>
        <w:pStyle w:val="11"/>
        <w:spacing w:line="400" w:lineRule="exact"/>
        <w:ind w:firstLine="560" w:firstLineChars="200"/>
        <w:rPr>
          <w:b/>
          <w:snapToGrid w:val="0"/>
          <w:kern w:val="0"/>
          <w:sz w:val="28"/>
          <w:szCs w:val="28"/>
          <w:highlight w:val="none"/>
          <w:lang w:val="en-US" w:eastAsia="zh-CN" w:bidi="ar-SA"/>
        </w:rPr>
      </w:pPr>
      <w:r>
        <w:rPr>
          <w:b/>
          <w:bCs/>
          <w:snapToGrid w:val="0"/>
          <w:kern w:val="0"/>
          <w:sz w:val="28"/>
          <w:szCs w:val="28"/>
          <w:highlight w:val="none"/>
          <w:lang w:val="en-US" w:eastAsia="zh-CN" w:bidi="ar-SA"/>
        </w:rPr>
        <w:t>（四）其他事项</w:t>
      </w:r>
    </w:p>
    <w:p>
      <w:pPr>
        <w:pStyle w:val="11"/>
        <w:spacing w:line="400" w:lineRule="exact"/>
        <w:ind w:firstLine="560" w:firstLineChars="200"/>
        <w:rPr>
          <w:b/>
          <w:snapToGrid w:val="0"/>
          <w:kern w:val="0"/>
          <w:sz w:val="28"/>
          <w:szCs w:val="28"/>
          <w:highlight w:val="none"/>
          <w:lang w:val="en-US" w:eastAsia="zh-CN" w:bidi="ar-SA"/>
        </w:rPr>
      </w:pPr>
    </w:p>
    <w:p>
      <w:pPr>
        <w:pStyle w:val="15"/>
        <w:rPr>
          <w:rFonts w:ascii="Times New Roman" w:eastAsia="仿宋_GB2312"/>
          <w:color w:val="auto"/>
          <w:kern w:val="2"/>
          <w:sz w:val="28"/>
          <w:szCs w:val="28"/>
          <w:highlight w:val="none"/>
          <w:lang w:val="en-US" w:eastAsia="zh-CN" w:bidi="ar-SA"/>
        </w:rPr>
      </w:pPr>
      <w:r>
        <w:rPr>
          <w:rFonts w:ascii="Times New Roman" w:eastAsia="仿宋_GB2312"/>
          <w:color w:val="auto"/>
          <w:kern w:val="2"/>
          <w:sz w:val="28"/>
          <w:szCs w:val="28"/>
          <w:highlight w:val="none"/>
          <w:lang w:val="en-US" w:eastAsia="zh-CN" w:bidi="ar-SA"/>
        </w:rPr>
        <w:t>我们审查了本期内由</w:t>
      </w:r>
      <w:r>
        <w:rPr>
          <w:rFonts w:hint="eastAsia" w:ascii="Times New Roman" w:eastAsia="仿宋_GB2312"/>
          <w:color w:val="auto"/>
          <w:kern w:val="2"/>
          <w:sz w:val="28"/>
          <w:szCs w:val="28"/>
          <w:highlight w:val="none"/>
          <w:lang w:val="en-US" w:eastAsia="zh-CN" w:bidi="ar-SA"/>
        </w:rPr>
        <w:t>四川</w:t>
      </w:r>
      <w:r>
        <w:rPr>
          <w:rFonts w:ascii="Times New Roman" w:eastAsia="仿宋_GB2312"/>
          <w:color w:val="auto"/>
          <w:kern w:val="2"/>
          <w:sz w:val="28"/>
          <w:szCs w:val="28"/>
          <w:highlight w:val="none"/>
          <w:lang w:val="en-US" w:eastAsia="zh-CN" w:bidi="ar-SA"/>
        </w:rPr>
        <w:t>省财政厅报送给世界银行的</w:t>
      </w:r>
      <w:r>
        <w:rPr>
          <w:rFonts w:hint="eastAsia" w:ascii="Times New Roman" w:eastAsia="仿宋_GB2312"/>
          <w:color w:val="auto"/>
          <w:kern w:val="2"/>
          <w:sz w:val="28"/>
          <w:szCs w:val="28"/>
          <w:highlight w:val="none"/>
          <w:lang w:val="en-US" w:eastAsia="zh-CN" w:bidi="ar-SA"/>
        </w:rPr>
        <w:t>SCLS-CJ-04号至SCLS-CJ-12号</w:t>
      </w:r>
      <w:r>
        <w:rPr>
          <w:rFonts w:ascii="Times New Roman" w:eastAsia="仿宋_GB2312"/>
          <w:color w:val="auto"/>
          <w:kern w:val="2"/>
          <w:sz w:val="28"/>
          <w:szCs w:val="28"/>
          <w:highlight w:val="none"/>
          <w:lang w:val="en-US" w:eastAsia="zh-CN" w:bidi="ar-SA"/>
        </w:rPr>
        <w:t>提款申请书及所附资料。我们认为，这些资料均符合贷款协议的要求，可以作为申请提款的依据。</w:t>
      </w:r>
    </w:p>
    <w:p>
      <w:pPr>
        <w:pStyle w:val="11"/>
        <w:spacing w:line="400" w:lineRule="exact"/>
        <w:ind w:firstLine="560" w:firstLineChars="200"/>
        <w:rPr>
          <w:rFonts w:eastAsia="仿宋_GB2312"/>
          <w:snapToGrid w:val="0"/>
          <w:kern w:val="0"/>
          <w:sz w:val="28"/>
          <w:szCs w:val="28"/>
          <w:highlight w:val="none"/>
          <w:lang w:val="en-US" w:eastAsia="zh-CN" w:bidi="ar-SA"/>
        </w:rPr>
      </w:pPr>
    </w:p>
    <w:p>
      <w:pPr>
        <w:pStyle w:val="7"/>
        <w:rPr>
          <w:rFonts w:ascii="仿宋_GB2312" w:eastAsia="仿宋_GB2312"/>
          <w:snapToGrid w:val="0"/>
          <w:kern w:val="0"/>
          <w:sz w:val="28"/>
          <w:szCs w:val="28"/>
          <w:highlight w:val="none"/>
          <w:lang w:val="en-US" w:eastAsia="zh-CN" w:bidi="ar-SA"/>
        </w:rPr>
      </w:pPr>
      <w:r>
        <w:rPr>
          <w:rFonts w:ascii="仿宋_GB2312" w:eastAsia="仿宋_GB2312"/>
          <w:snapToGrid w:val="0"/>
          <w:kern w:val="0"/>
          <w:sz w:val="28"/>
          <w:szCs w:val="28"/>
          <w:highlight w:val="none"/>
          <w:lang w:val="en-US" w:eastAsia="zh-CN" w:bidi="ar-SA"/>
        </w:rPr>
        <w:t>本审计师意见之后，共同构成审计报告的还有两项内容：财务报表及财务报表附注和审计发现的问题及建议。</w:t>
      </w:r>
    </w:p>
    <w:p>
      <w:pPr>
        <w:pStyle w:val="11"/>
        <w:rPr>
          <w:snapToGrid w:val="0"/>
          <w:kern w:val="0"/>
          <w:sz w:val="21"/>
          <w:highlight w:val="none"/>
          <w:lang w:val="en-US" w:eastAsia="zh-CN" w:bidi="ar-SA"/>
        </w:rPr>
      </w:pPr>
    </w:p>
    <w:p>
      <w:pPr>
        <w:pStyle w:val="11"/>
        <w:rPr>
          <w:snapToGrid w:val="0"/>
          <w:kern w:val="0"/>
          <w:sz w:val="21"/>
          <w:highlight w:val="none"/>
          <w:lang w:val="en-US" w:eastAsia="zh-CN" w:bidi="ar-SA"/>
        </w:rPr>
      </w:pPr>
    </w:p>
    <w:p>
      <w:pPr>
        <w:pStyle w:val="11"/>
        <w:snapToGrid w:val="0"/>
        <w:spacing w:line="400" w:lineRule="exact"/>
        <w:ind w:left="4200" w:leftChars="1800" w:hanging="420" w:hangingChars="150"/>
        <w:rPr>
          <w:rFonts w:eastAsia="仿宋_GB2312"/>
          <w:snapToGrid w:val="0"/>
          <w:kern w:val="0"/>
          <w:sz w:val="28"/>
          <w:szCs w:val="28"/>
          <w:highlight w:val="none"/>
          <w:lang w:val="en-US" w:eastAsia="zh-CN" w:bidi="ar-SA"/>
        </w:rPr>
      </w:pPr>
      <w:r>
        <w:rPr>
          <w:rFonts w:eastAsia="仿宋_GB2312"/>
          <w:snapToGrid w:val="0"/>
          <w:kern w:val="0"/>
          <w:sz w:val="28"/>
          <w:szCs w:val="28"/>
          <w:highlight w:val="none"/>
          <w:lang w:val="en-US" w:eastAsia="zh-CN" w:bidi="ar-SA"/>
        </w:rPr>
        <w:t xml:space="preserve">      </w:t>
      </w:r>
      <w:r>
        <w:rPr>
          <w:rFonts w:hint="eastAsia" w:eastAsia="仿宋_GB2312"/>
          <w:snapToGrid w:val="0"/>
          <w:kern w:val="0"/>
          <w:sz w:val="28"/>
          <w:szCs w:val="28"/>
          <w:highlight w:val="none"/>
          <w:lang w:val="en-US" w:eastAsia="zh-CN" w:bidi="ar-SA"/>
        </w:rPr>
        <w:t xml:space="preserve">          </w:t>
      </w:r>
      <w:r>
        <w:rPr>
          <w:rFonts w:eastAsia="仿宋_GB2312"/>
          <w:snapToGrid w:val="0"/>
          <w:kern w:val="0"/>
          <w:sz w:val="28"/>
          <w:szCs w:val="28"/>
          <w:highlight w:val="none"/>
          <w:lang w:val="en-US" w:eastAsia="zh-CN" w:bidi="ar-SA"/>
        </w:rPr>
        <w:t>四川省审计厅</w:t>
      </w:r>
    </w:p>
    <w:p>
      <w:pPr>
        <w:pStyle w:val="11"/>
        <w:snapToGrid w:val="0"/>
        <w:spacing w:line="400" w:lineRule="exact"/>
        <w:ind w:left="4200" w:leftChars="1800" w:hanging="420" w:hangingChars="150"/>
        <w:rPr>
          <w:rFonts w:eastAsia="仿宋_GB2312"/>
          <w:snapToGrid w:val="0"/>
          <w:kern w:val="0"/>
          <w:sz w:val="28"/>
          <w:szCs w:val="28"/>
          <w:highlight w:val="none"/>
          <w:lang w:val="en-US" w:eastAsia="zh-CN" w:bidi="ar-SA"/>
        </w:rPr>
      </w:pPr>
    </w:p>
    <w:p>
      <w:pPr>
        <w:pStyle w:val="11"/>
        <w:snapToGrid w:val="0"/>
        <w:spacing w:line="400" w:lineRule="exact"/>
        <w:ind w:firstLine="5880" w:firstLineChars="2100"/>
        <w:rPr>
          <w:rFonts w:eastAsia="仿宋_GB2312"/>
          <w:snapToGrid w:val="0"/>
          <w:kern w:val="0"/>
          <w:sz w:val="28"/>
          <w:szCs w:val="28"/>
          <w:highlight w:val="none"/>
          <w:lang w:val="en-US" w:eastAsia="zh-CN" w:bidi="ar-SA"/>
        </w:rPr>
      </w:pPr>
      <w:r>
        <w:rPr>
          <w:rFonts w:eastAsia="仿宋_GB2312"/>
          <w:snapToGrid w:val="0"/>
          <w:kern w:val="0"/>
          <w:sz w:val="28"/>
          <w:szCs w:val="28"/>
          <w:highlight w:val="none"/>
          <w:lang w:val="en-US" w:eastAsia="zh-CN" w:bidi="ar-SA"/>
        </w:rPr>
        <w:t>20</w:t>
      </w:r>
      <w:r>
        <w:rPr>
          <w:rFonts w:hint="eastAsia" w:eastAsia="仿宋_GB2312"/>
          <w:snapToGrid w:val="0"/>
          <w:kern w:val="0"/>
          <w:sz w:val="28"/>
          <w:szCs w:val="28"/>
          <w:highlight w:val="none"/>
          <w:lang w:val="en-US" w:eastAsia="zh-CN" w:bidi="ar-SA"/>
        </w:rPr>
        <w:t>20</w:t>
      </w:r>
      <w:r>
        <w:rPr>
          <w:rFonts w:eastAsia="仿宋_GB2312"/>
          <w:snapToGrid w:val="0"/>
          <w:kern w:val="0"/>
          <w:sz w:val="28"/>
          <w:szCs w:val="28"/>
          <w:highlight w:val="none"/>
          <w:lang w:val="en-US" w:eastAsia="zh-CN" w:bidi="ar-SA"/>
        </w:rPr>
        <w:t>年6月</w:t>
      </w:r>
      <w:r>
        <w:rPr>
          <w:rFonts w:hint="eastAsia" w:eastAsia="仿宋_GB2312"/>
          <w:snapToGrid w:val="0"/>
          <w:kern w:val="0"/>
          <w:sz w:val="28"/>
          <w:szCs w:val="28"/>
          <w:highlight w:val="none"/>
          <w:lang w:val="en-US" w:eastAsia="zh-CN" w:bidi="ar-SA"/>
        </w:rPr>
        <w:t>8</w:t>
      </w:r>
      <w:r>
        <w:rPr>
          <w:rFonts w:eastAsia="仿宋_GB2312"/>
          <w:snapToGrid w:val="0"/>
          <w:kern w:val="0"/>
          <w:sz w:val="28"/>
          <w:szCs w:val="28"/>
          <w:highlight w:val="none"/>
          <w:lang w:val="en-US" w:eastAsia="zh-CN" w:bidi="ar-SA"/>
        </w:rPr>
        <w:t>日</w:t>
      </w:r>
    </w:p>
    <w:p>
      <w:pPr>
        <w:pStyle w:val="11"/>
        <w:snapToGrid w:val="0"/>
        <w:spacing w:line="400" w:lineRule="exact"/>
        <w:rPr>
          <w:rFonts w:eastAsia="仿宋_GB2312"/>
          <w:snapToGrid w:val="0"/>
          <w:kern w:val="0"/>
          <w:sz w:val="28"/>
          <w:szCs w:val="28"/>
          <w:highlight w:val="none"/>
          <w:lang w:val="en-US" w:eastAsia="zh-CN" w:bidi="ar-SA"/>
        </w:rPr>
      </w:pPr>
    </w:p>
    <w:p>
      <w:pPr>
        <w:pStyle w:val="16"/>
        <w:rPr>
          <w:rFonts w:ascii="仿宋_GB2312" w:eastAsia="仿宋_GB2312"/>
          <w:snapToGrid w:val="0"/>
          <w:kern w:val="0"/>
          <w:sz w:val="28"/>
          <w:szCs w:val="28"/>
          <w:highlight w:val="none"/>
          <w:lang w:val="en-US" w:eastAsia="zh-CN" w:bidi="ar-SA"/>
        </w:rPr>
      </w:pPr>
      <w:r>
        <w:rPr>
          <w:rFonts w:ascii="仿宋_GB2312" w:eastAsia="仿宋_GB2312"/>
          <w:snapToGrid w:val="0"/>
          <w:kern w:val="0"/>
          <w:sz w:val="28"/>
          <w:szCs w:val="28"/>
          <w:highlight w:val="none"/>
          <w:lang w:val="en-US" w:eastAsia="zh-CN" w:bidi="ar-SA"/>
        </w:rPr>
        <w:t>地址：四川省成都市永兴巷15号</w:t>
      </w:r>
    </w:p>
    <w:p>
      <w:pPr>
        <w:pStyle w:val="16"/>
        <w:rPr>
          <w:rFonts w:ascii="仿宋_GB2312" w:eastAsia="仿宋_GB2312"/>
          <w:snapToGrid w:val="0"/>
          <w:kern w:val="0"/>
          <w:sz w:val="28"/>
          <w:szCs w:val="28"/>
          <w:highlight w:val="none"/>
          <w:lang w:val="en-US" w:eastAsia="zh-CN" w:bidi="ar-SA"/>
        </w:rPr>
      </w:pPr>
      <w:r>
        <w:rPr>
          <w:rFonts w:ascii="仿宋_GB2312" w:eastAsia="仿宋_GB2312"/>
          <w:snapToGrid w:val="0"/>
          <w:kern w:val="0"/>
          <w:sz w:val="28"/>
          <w:szCs w:val="28"/>
          <w:highlight w:val="none"/>
          <w:lang w:val="en-US" w:eastAsia="zh-CN" w:bidi="ar-SA"/>
        </w:rPr>
        <w:t>邮政编码：610012</w:t>
      </w:r>
    </w:p>
    <w:p>
      <w:pPr>
        <w:pStyle w:val="16"/>
        <w:rPr>
          <w:rFonts w:ascii="仿宋_GB2312" w:eastAsia="仿宋_GB2312"/>
          <w:snapToGrid w:val="0"/>
          <w:kern w:val="0"/>
          <w:sz w:val="28"/>
          <w:szCs w:val="28"/>
          <w:highlight w:val="none"/>
          <w:lang w:val="en-US" w:eastAsia="zh-CN" w:bidi="ar-SA"/>
        </w:rPr>
      </w:pPr>
      <w:r>
        <w:rPr>
          <w:rFonts w:ascii="仿宋_GB2312" w:eastAsia="仿宋_GB2312"/>
          <w:snapToGrid w:val="0"/>
          <w:kern w:val="0"/>
          <w:sz w:val="28"/>
          <w:szCs w:val="28"/>
          <w:highlight w:val="none"/>
          <w:lang w:val="en-US" w:eastAsia="zh-CN" w:bidi="ar-SA"/>
        </w:rPr>
        <w:t>电话：028-8652</w:t>
      </w:r>
      <w:r>
        <w:rPr>
          <w:rFonts w:hint="eastAsia" w:ascii="仿宋_GB2312" w:eastAsia="仿宋_GB2312"/>
          <w:snapToGrid w:val="0"/>
          <w:kern w:val="0"/>
          <w:sz w:val="28"/>
          <w:szCs w:val="28"/>
          <w:highlight w:val="none"/>
          <w:lang w:val="en-US" w:eastAsia="zh-CN" w:bidi="ar-SA"/>
        </w:rPr>
        <w:t>2</w:t>
      </w:r>
      <w:r>
        <w:rPr>
          <w:rFonts w:ascii="仿宋_GB2312" w:eastAsia="仿宋_GB2312"/>
          <w:snapToGrid w:val="0"/>
          <w:kern w:val="0"/>
          <w:sz w:val="28"/>
          <w:szCs w:val="28"/>
          <w:highlight w:val="none"/>
          <w:lang w:val="en-US" w:eastAsia="zh-CN" w:bidi="ar-SA"/>
        </w:rPr>
        <w:t>2</w:t>
      </w:r>
      <w:r>
        <w:rPr>
          <w:rFonts w:hint="eastAsia" w:ascii="仿宋_GB2312" w:eastAsia="仿宋_GB2312"/>
          <w:snapToGrid w:val="0"/>
          <w:kern w:val="0"/>
          <w:sz w:val="28"/>
          <w:szCs w:val="28"/>
          <w:highlight w:val="none"/>
          <w:lang w:val="en-US" w:eastAsia="zh-CN" w:bidi="ar-SA"/>
        </w:rPr>
        <w:t>02</w:t>
      </w:r>
    </w:p>
    <w:p>
      <w:pPr>
        <w:pStyle w:val="16"/>
        <w:rPr>
          <w:rFonts w:ascii="仿宋_GB2312" w:eastAsia="仿宋_GB2312"/>
          <w:snapToGrid w:val="0"/>
          <w:kern w:val="0"/>
          <w:sz w:val="28"/>
          <w:szCs w:val="28"/>
          <w:highlight w:val="none"/>
          <w:lang w:val="en-US" w:eastAsia="zh-CN" w:bidi="ar-SA"/>
        </w:rPr>
      </w:pPr>
      <w:r>
        <w:rPr>
          <w:rFonts w:ascii="仿宋_GB2312" w:eastAsia="仿宋_GB2312"/>
          <w:snapToGrid w:val="0"/>
          <w:kern w:val="0"/>
          <w:sz w:val="28"/>
          <w:szCs w:val="28"/>
          <w:highlight w:val="none"/>
          <w:lang w:val="en-US" w:eastAsia="zh-CN" w:bidi="ar-SA"/>
        </w:rPr>
        <w:t>传真：028-86522</w:t>
      </w:r>
      <w:r>
        <w:rPr>
          <w:rFonts w:hint="eastAsia" w:ascii="仿宋_GB2312" w:eastAsia="仿宋_GB2312"/>
          <w:snapToGrid w:val="0"/>
          <w:kern w:val="0"/>
          <w:sz w:val="28"/>
          <w:szCs w:val="28"/>
          <w:highlight w:val="none"/>
          <w:lang w:val="en-US" w:eastAsia="zh-CN" w:bidi="ar-SA"/>
        </w:rPr>
        <w:t xml:space="preserve">013 </w:t>
      </w:r>
    </w:p>
    <w:p>
      <w:pPr>
        <w:pStyle w:val="17"/>
        <w:rPr>
          <w:rFonts w:eastAsia="仿宋_GB2312"/>
          <w:b/>
          <w:bCs/>
          <w:snapToGrid w:val="0"/>
          <w:kern w:val="0"/>
          <w:sz w:val="28"/>
          <w:szCs w:val="28"/>
          <w:highlight w:val="none"/>
          <w:lang w:val="en-US" w:eastAsia="zh-CN" w:bidi="ar-SA"/>
        </w:rPr>
      </w:pPr>
      <w:bookmarkStart w:id="1" w:name="_Toc516757251"/>
      <w:r>
        <w:rPr>
          <w:rFonts w:eastAsia="仿宋_GB2312"/>
          <w:b/>
          <w:bCs/>
          <w:snapToGrid w:val="0"/>
          <w:kern w:val="0"/>
          <w:sz w:val="28"/>
          <w:szCs w:val="28"/>
          <w:highlight w:val="none"/>
          <w:lang w:val="en-US" w:eastAsia="zh-CN" w:bidi="ar-SA"/>
        </w:rPr>
        <w:t>二、财务报表及财务报表附注</w:t>
      </w:r>
      <w:bookmarkEnd w:id="1"/>
    </w:p>
    <w:p>
      <w:pPr>
        <w:pStyle w:val="17"/>
        <w:rPr>
          <w:rFonts w:eastAsia="仿宋_GB2312"/>
          <w:b/>
          <w:bCs/>
          <w:snapToGrid w:val="0"/>
          <w:kern w:val="0"/>
          <w:sz w:val="28"/>
          <w:szCs w:val="28"/>
          <w:highlight w:val="none"/>
          <w:lang w:val="en-US" w:eastAsia="zh-CN" w:bidi="ar-SA"/>
        </w:rPr>
      </w:pPr>
      <w:bookmarkStart w:id="2" w:name="_Toc516757252"/>
      <w:r>
        <w:rPr>
          <w:rFonts w:ascii="宋体" w:hAnsi="宋体" w:eastAsia="仿宋_GB2312"/>
          <w:b/>
          <w:bCs/>
          <w:snapToGrid w:val="0"/>
          <w:kern w:val="0"/>
          <w:sz w:val="28"/>
          <w:szCs w:val="28"/>
          <w:highlight w:val="none"/>
          <w:lang w:val="en-US" w:eastAsia="zh-CN" w:bidi="ar-SA"/>
        </w:rPr>
        <w:t>Ⅱ</w:t>
      </w:r>
      <w:r>
        <w:rPr>
          <w:rFonts w:eastAsia="仿宋_GB2312"/>
          <w:b/>
          <w:bCs/>
          <w:snapToGrid w:val="0"/>
          <w:kern w:val="0"/>
          <w:sz w:val="28"/>
          <w:szCs w:val="28"/>
          <w:highlight w:val="none"/>
          <w:lang w:val="en-US" w:eastAsia="zh-CN" w:bidi="ar-SA"/>
        </w:rPr>
        <w:t>. Financial Statements and Notes to the Financial Statements</w:t>
      </w:r>
      <w:bookmarkEnd w:id="2"/>
    </w:p>
    <w:p>
      <w:pPr>
        <w:pStyle w:val="20"/>
        <w:rPr>
          <w:rFonts w:ascii="Times New Roman" w:eastAsia="仿宋_GB2312"/>
          <w:b w:val="0"/>
          <w:bCs w:val="0"/>
          <w:snapToGrid w:val="0"/>
          <w:kern w:val="0"/>
          <w:sz w:val="28"/>
          <w:szCs w:val="30"/>
          <w:highlight w:val="none"/>
          <w:lang w:val="en-US" w:eastAsia="zh-CN" w:bidi="ar-SA"/>
        </w:rPr>
      </w:pPr>
      <w:bookmarkStart w:id="3" w:name="_Toc516757253"/>
      <w:r>
        <w:rPr>
          <w:rFonts w:ascii="Times New Roman" w:eastAsia="仿宋_GB2312"/>
          <w:b w:val="0"/>
          <w:bCs w:val="0"/>
          <w:snapToGrid w:val="0"/>
          <w:kern w:val="0"/>
          <w:sz w:val="28"/>
          <w:szCs w:val="30"/>
          <w:highlight w:val="none"/>
          <w:lang w:val="en-US" w:eastAsia="zh-CN" w:bidi="ar-SA"/>
        </w:rPr>
        <w:t>（一）资金平衡表</w:t>
      </w:r>
      <w:bookmarkEnd w:id="3"/>
    </w:p>
    <w:p>
      <w:pPr>
        <w:pStyle w:val="23"/>
        <w:rPr>
          <w:rFonts w:eastAsia="Times New Roman" w:cs="Times New Roman"/>
          <w:b/>
          <w:bCs/>
          <w:snapToGrid w:val="0"/>
          <w:color w:val="auto"/>
          <w:kern w:val="0"/>
          <w:sz w:val="28"/>
          <w:szCs w:val="30"/>
          <w:highlight w:val="none"/>
          <w:lang w:val="en-GB" w:eastAsia="zh-CN" w:bidi="ar-SA"/>
        </w:rPr>
      </w:pPr>
      <w:bookmarkStart w:id="4" w:name="_Toc516757254"/>
      <w:r>
        <w:rPr>
          <w:rFonts w:eastAsia="Times New Roman" w:cs="Times New Roman"/>
          <w:b/>
          <w:bCs/>
          <w:snapToGrid w:val="0"/>
          <w:color w:val="auto"/>
          <w:kern w:val="0"/>
          <w:sz w:val="28"/>
          <w:szCs w:val="30"/>
          <w:highlight w:val="none"/>
          <w:lang w:val="en-GB" w:eastAsia="zh-CN" w:bidi="ar-SA"/>
        </w:rPr>
        <w:t>i. Balance Sheet</w:t>
      </w:r>
      <w:bookmarkEnd w:id="4"/>
    </w:p>
    <w:p>
      <w:pPr>
        <w:pStyle w:val="24"/>
        <w:snapToGrid w:val="0"/>
        <w:spacing w:line="120" w:lineRule="atLeast"/>
        <w:rPr>
          <w:rFonts w:eastAsia="仿宋_GB2312"/>
          <w:b/>
          <w:snapToGrid w:val="0"/>
          <w:kern w:val="0"/>
          <w:sz w:val="28"/>
          <w:szCs w:val="28"/>
          <w:highlight w:val="none"/>
          <w:lang w:val="en-US" w:eastAsia="zh-CN" w:bidi="ar-SA"/>
        </w:rPr>
      </w:pPr>
    </w:p>
    <w:p>
      <w:pPr>
        <w:pStyle w:val="25"/>
        <w:rPr>
          <w:rFonts w:eastAsia="仿宋_GB2312"/>
          <w:b/>
          <w:snapToGrid w:val="0"/>
          <w:kern w:val="0"/>
          <w:sz w:val="32"/>
          <w:szCs w:val="32"/>
          <w:highlight w:val="none"/>
          <w:lang w:val="en-GB" w:eastAsia="zh-CN" w:bidi="ar-SA"/>
        </w:rPr>
      </w:pPr>
      <w:r>
        <w:rPr>
          <w:rFonts w:eastAsia="仿宋_GB2312"/>
          <w:b/>
          <w:bCs/>
          <w:snapToGrid w:val="0"/>
          <w:kern w:val="0"/>
          <w:sz w:val="32"/>
          <w:szCs w:val="32"/>
          <w:highlight w:val="none"/>
          <w:lang w:val="en-GB" w:eastAsia="zh-CN" w:bidi="ar-SA"/>
        </w:rPr>
        <w:t>资 金 平 衡 表</w:t>
      </w:r>
    </w:p>
    <w:p>
      <w:pPr>
        <w:pStyle w:val="27"/>
        <w:rPr>
          <w:b/>
          <w:bCs/>
          <w:snapToGrid w:val="0"/>
          <w:kern w:val="0"/>
          <w:sz w:val="32"/>
          <w:szCs w:val="32"/>
          <w:highlight w:val="none"/>
          <w:lang w:val="en-US" w:eastAsia="zh-CN" w:bidi="ar-SA"/>
        </w:rPr>
      </w:pPr>
      <w:r>
        <w:rPr>
          <w:b/>
          <w:bCs/>
          <w:snapToGrid w:val="0"/>
          <w:kern w:val="0"/>
          <w:sz w:val="32"/>
          <w:szCs w:val="32"/>
          <w:highlight w:val="none"/>
          <w:lang w:val="en-US" w:eastAsia="zh-CN" w:bidi="ar-SA"/>
        </w:rPr>
        <w:t>BALANCE SHEET</w:t>
      </w:r>
    </w:p>
    <w:p>
      <w:pPr>
        <w:pStyle w:val="28"/>
        <w:rPr>
          <w:rFonts w:eastAsia="仿宋_GB2312"/>
          <w:snapToGrid w:val="0"/>
          <w:kern w:val="0"/>
          <w:sz w:val="21"/>
          <w:szCs w:val="28"/>
          <w:highlight w:val="none"/>
          <w:lang w:val="en-GB" w:eastAsia="zh-CN" w:bidi="ar-SA"/>
        </w:rPr>
      </w:pPr>
      <w:r>
        <w:rPr>
          <w:rFonts w:eastAsia="仿宋_GB2312"/>
          <w:snapToGrid w:val="0"/>
          <w:kern w:val="0"/>
          <w:sz w:val="21"/>
          <w:szCs w:val="28"/>
          <w:highlight w:val="none"/>
          <w:lang w:val="en-GB" w:eastAsia="zh-CN" w:bidi="ar-SA"/>
        </w:rPr>
        <w:t>本期截至</w:t>
      </w:r>
      <w:r>
        <w:rPr>
          <w:rFonts w:hint="eastAsia" w:eastAsia="仿宋_GB2312"/>
          <w:snapToGrid w:val="0"/>
          <w:kern w:val="0"/>
          <w:sz w:val="21"/>
          <w:szCs w:val="28"/>
          <w:highlight w:val="none"/>
          <w:lang w:val="en-GB" w:eastAsia="zh-CN" w:bidi="ar-SA"/>
        </w:rPr>
        <w:t>201</w:t>
      </w:r>
      <w:r>
        <w:rPr>
          <w:rFonts w:hint="eastAsia" w:eastAsia="仿宋_GB2312"/>
          <w:snapToGrid w:val="0"/>
          <w:kern w:val="0"/>
          <w:sz w:val="21"/>
          <w:szCs w:val="28"/>
          <w:highlight w:val="none"/>
          <w:lang w:val="en-US" w:eastAsia="zh-CN" w:bidi="ar-SA"/>
        </w:rPr>
        <w:t>9</w:t>
      </w:r>
      <w:r>
        <w:rPr>
          <w:rFonts w:eastAsia="仿宋_GB2312"/>
          <w:snapToGrid w:val="0"/>
          <w:kern w:val="0"/>
          <w:sz w:val="21"/>
          <w:szCs w:val="28"/>
          <w:highlight w:val="none"/>
          <w:lang w:val="en-GB" w:eastAsia="zh-CN" w:bidi="ar-SA"/>
        </w:rPr>
        <w:t xml:space="preserve">年12月31日 </w:t>
      </w:r>
    </w:p>
    <w:p>
      <w:pPr>
        <w:pStyle w:val="28"/>
        <w:rPr>
          <w:rFonts w:eastAsia="仿宋_GB2312"/>
          <w:snapToGrid w:val="0"/>
          <w:kern w:val="0"/>
          <w:sz w:val="21"/>
          <w:szCs w:val="28"/>
          <w:highlight w:val="none"/>
          <w:lang w:val="en-GB" w:eastAsia="zh-CN" w:bidi="ar-SA"/>
        </w:rPr>
      </w:pPr>
      <w:r>
        <w:rPr>
          <w:rFonts w:eastAsia="仿宋_GB2312"/>
          <w:snapToGrid w:val="0"/>
          <w:kern w:val="0"/>
          <w:sz w:val="21"/>
          <w:szCs w:val="28"/>
          <w:highlight w:val="none"/>
          <w:lang w:val="en-GB" w:eastAsia="zh-CN" w:bidi="ar-SA"/>
        </w:rPr>
        <w:t xml:space="preserve">(For the period ended December 31, </w:t>
      </w:r>
      <w:r>
        <w:rPr>
          <w:rFonts w:hint="eastAsia" w:eastAsia="仿宋_GB2312"/>
          <w:snapToGrid w:val="0"/>
          <w:kern w:val="0"/>
          <w:sz w:val="21"/>
          <w:szCs w:val="28"/>
          <w:highlight w:val="none"/>
          <w:lang w:val="en-GB" w:eastAsia="zh-CN" w:bidi="ar-SA"/>
        </w:rPr>
        <w:t>201</w:t>
      </w:r>
      <w:r>
        <w:rPr>
          <w:rFonts w:hint="eastAsia" w:eastAsia="仿宋_GB2312"/>
          <w:snapToGrid w:val="0"/>
          <w:kern w:val="0"/>
          <w:sz w:val="21"/>
          <w:szCs w:val="28"/>
          <w:highlight w:val="none"/>
          <w:lang w:val="en-US" w:eastAsia="zh-CN" w:bidi="ar-SA"/>
        </w:rPr>
        <w:t>9</w:t>
      </w:r>
      <w:r>
        <w:rPr>
          <w:rFonts w:eastAsia="仿宋_GB2312"/>
          <w:snapToGrid w:val="0"/>
          <w:kern w:val="0"/>
          <w:sz w:val="21"/>
          <w:szCs w:val="28"/>
          <w:highlight w:val="none"/>
          <w:lang w:val="en-GB" w:eastAsia="zh-CN" w:bidi="ar-SA"/>
        </w:rPr>
        <w:t>）</w:t>
      </w:r>
    </w:p>
    <w:p>
      <w:pPr>
        <w:pStyle w:val="28"/>
        <w:rPr>
          <w:rFonts w:eastAsia="仿宋_GB2312"/>
          <w:snapToGrid w:val="0"/>
          <w:kern w:val="0"/>
          <w:sz w:val="21"/>
          <w:szCs w:val="28"/>
          <w:highlight w:val="none"/>
          <w:lang w:val="en-GB" w:eastAsia="zh-CN" w:bidi="ar-SA"/>
        </w:rPr>
      </w:pPr>
    </w:p>
    <w:p>
      <w:pPr>
        <w:pStyle w:val="24"/>
        <w:snapToGrid w:val="0"/>
        <w:spacing w:line="120" w:lineRule="atLeast"/>
        <w:ind w:leftChars="-207" w:right="-1784" w:hanging="434" w:hangingChars="207"/>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项目名称：世界银行贷款</w:t>
      </w:r>
      <w:r>
        <w:rPr>
          <w:rFonts w:hint="eastAsia" w:eastAsia="仿宋_GB2312"/>
          <w:snapToGrid w:val="0"/>
          <w:kern w:val="0"/>
          <w:sz w:val="21"/>
          <w:highlight w:val="none"/>
          <w:lang w:val="en-US" w:eastAsia="zh-CN" w:bidi="ar-SA"/>
        </w:rPr>
        <w:t>芦山</w:t>
      </w:r>
      <w:r>
        <w:rPr>
          <w:rFonts w:eastAsia="仿宋_GB2312"/>
          <w:snapToGrid w:val="0"/>
          <w:kern w:val="0"/>
          <w:sz w:val="21"/>
          <w:highlight w:val="none"/>
          <w:lang w:val="en-US" w:eastAsia="zh-CN" w:bidi="ar-SA"/>
        </w:rPr>
        <w:t>地震</w:t>
      </w:r>
      <w:r>
        <w:rPr>
          <w:rFonts w:hint="eastAsia" w:eastAsia="仿宋_GB2312"/>
          <w:snapToGrid w:val="0"/>
          <w:kern w:val="0"/>
          <w:sz w:val="21"/>
          <w:highlight w:val="none"/>
          <w:lang w:val="en-US" w:eastAsia="zh-CN" w:bidi="ar-SA"/>
        </w:rPr>
        <w:t>灾后恢复重建项目</w:t>
      </w:r>
      <w:r>
        <w:rPr>
          <w:rFonts w:eastAsia="仿宋_GB2312"/>
          <w:snapToGrid w:val="0"/>
          <w:kern w:val="0"/>
          <w:sz w:val="21"/>
          <w:highlight w:val="none"/>
          <w:lang w:val="en-US" w:eastAsia="zh-CN" w:bidi="ar-SA"/>
        </w:rPr>
        <w:t>-城建子项目</w:t>
      </w:r>
    </w:p>
    <w:p>
      <w:pPr>
        <w:pStyle w:val="24"/>
        <w:snapToGrid w:val="0"/>
        <w:spacing w:line="120" w:lineRule="atLeast"/>
        <w:ind w:leftChars="-207" w:right="-1784" w:hanging="434" w:hangingChars="207"/>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 xml:space="preserve">Project Name: Lushan Earthquake Recovery and Reconstruction Project Financed by World Bank - Urban </w:t>
      </w:r>
    </w:p>
    <w:p>
      <w:pPr>
        <w:pStyle w:val="24"/>
        <w:snapToGrid w:val="0"/>
        <w:spacing w:line="120" w:lineRule="atLeast"/>
        <w:ind w:leftChars="-207" w:right="-1784" w:hanging="434" w:hangingChars="207"/>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Construction Subproject</w:t>
      </w:r>
    </w:p>
    <w:p>
      <w:pPr>
        <w:pStyle w:val="24"/>
        <w:snapToGrid w:val="0"/>
        <w:spacing w:line="120" w:lineRule="atLeast"/>
        <w:ind w:left="-420" w:leftChars="-207" w:right="-1784" w:hanging="14" w:hangingChars="7"/>
        <w:jc w:val="left"/>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编报单位：四川省人民政府水资源规划城建环保项目领导小组办公室                    货币单</w:t>
      </w:r>
      <w:r>
        <w:rPr>
          <w:rFonts w:eastAsia="仿宋_GB2312"/>
          <w:snapToGrid w:val="0"/>
          <w:kern w:val="0"/>
          <w:sz w:val="21"/>
          <w:szCs w:val="21"/>
          <w:highlight w:val="none"/>
          <w:lang w:val="en-US" w:eastAsia="zh-CN" w:bidi="ar-SA"/>
        </w:rPr>
        <w:t>位：人民币元</w:t>
      </w:r>
    </w:p>
    <w:p>
      <w:pPr>
        <w:pStyle w:val="24"/>
        <w:snapToGrid w:val="0"/>
        <w:spacing w:line="120" w:lineRule="atLeast"/>
        <w:ind w:leftChars="-207" w:right="-1784" w:hanging="434" w:hangingChars="207"/>
        <w:rPr>
          <w:rFonts w:eastAsia="仿宋_GB2312"/>
          <w:snapToGrid w:val="0"/>
          <w:kern w:val="0"/>
          <w:sz w:val="18"/>
          <w:highlight w:val="none"/>
          <w:lang w:val="en-US" w:eastAsia="zh-CN" w:bidi="ar-SA"/>
        </w:rPr>
      </w:pPr>
      <w:r>
        <w:rPr>
          <w:snapToGrid w:val="0"/>
          <w:kern w:val="0"/>
          <w:sz w:val="21"/>
          <w:highlight w:val="none"/>
          <w:lang w:val="en-US" w:eastAsia="zh-CN" w:bidi="ar-SA"/>
        </w:rPr>
        <w:t xml:space="preserve">Prepared by: Sichuan Urban Environment Project Office          </w:t>
      </w:r>
      <w:r>
        <w:rPr>
          <w:snapToGrid w:val="0"/>
          <w:kern w:val="0"/>
          <w:sz w:val="18"/>
          <w:highlight w:val="none"/>
          <w:lang w:val="en-US" w:eastAsia="zh-CN" w:bidi="ar-SA"/>
        </w:rPr>
        <w:t xml:space="preserve">                         </w:t>
      </w:r>
      <w:r>
        <w:rPr>
          <w:snapToGrid w:val="0"/>
          <w:kern w:val="0"/>
          <w:sz w:val="21"/>
          <w:szCs w:val="21"/>
          <w:highlight w:val="none"/>
          <w:lang w:val="en-US" w:eastAsia="zh-CN" w:bidi="ar-SA"/>
        </w:rPr>
        <w:t>Currency Unit: RMB Yuan</w:t>
      </w:r>
    </w:p>
    <w:tbl>
      <w:tblPr>
        <w:tblStyle w:val="6"/>
        <w:tblW w:w="10437" w:type="dxa"/>
        <w:tblInd w:w="-53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401"/>
        <w:gridCol w:w="453"/>
        <w:gridCol w:w="1282"/>
        <w:gridCol w:w="1259"/>
        <w:gridCol w:w="2102"/>
        <w:gridCol w:w="420"/>
        <w:gridCol w:w="1261"/>
        <w:gridCol w:w="1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blHeader/>
        </w:trPr>
        <w:tc>
          <w:tcPr>
            <w:tcW w:w="2401"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资   金   占  用</w:t>
            </w:r>
          </w:p>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Application of Fund</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 xml:space="preserve">行次Line No.            </w:t>
            </w:r>
          </w:p>
        </w:tc>
        <w:tc>
          <w:tcPr>
            <w:tcW w:w="1282"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 xml:space="preserve">期初数 </w:t>
            </w:r>
            <w:r>
              <w:rPr>
                <w:rFonts w:hint="eastAsia"/>
                <w:snapToGrid w:val="0"/>
                <w:kern w:val="0"/>
                <w:sz w:val="15"/>
                <w:szCs w:val="15"/>
                <w:highlight w:val="none"/>
                <w:lang w:val="en-US" w:eastAsia="zh-CN" w:bidi="ar-SA"/>
              </w:rPr>
              <w:t xml:space="preserve"> </w:t>
            </w:r>
          </w:p>
          <w:p>
            <w:pPr>
              <w:pStyle w:val="24"/>
              <w:widowControl/>
              <w:spacing w:line="160" w:lineRule="exact"/>
              <w:jc w:val="center"/>
              <w:rPr>
                <w:rFonts w:hint="default"/>
                <w:snapToGrid w:val="0"/>
                <w:kern w:val="0"/>
                <w:sz w:val="15"/>
                <w:szCs w:val="15"/>
                <w:highlight w:val="none"/>
                <w:lang w:val="en-US" w:eastAsia="zh-CN" w:bidi="ar-SA"/>
              </w:rPr>
            </w:pPr>
            <w:r>
              <w:rPr>
                <w:snapToGrid w:val="0"/>
                <w:kern w:val="0"/>
                <w:sz w:val="15"/>
                <w:szCs w:val="15"/>
                <w:highlight w:val="none"/>
                <w:lang w:val="en-US" w:eastAsia="zh-CN" w:bidi="ar-SA"/>
              </w:rPr>
              <w:t>Beginning Balance</w:t>
            </w:r>
          </w:p>
        </w:tc>
        <w:tc>
          <w:tcPr>
            <w:tcW w:w="1259"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期末数</w:t>
            </w:r>
            <w:r>
              <w:rPr>
                <w:rFonts w:hint="eastAsia"/>
                <w:snapToGrid w:val="0"/>
                <w:kern w:val="0"/>
                <w:sz w:val="15"/>
                <w:szCs w:val="15"/>
                <w:highlight w:val="none"/>
                <w:lang w:val="en-US" w:eastAsia="zh-CN" w:bidi="ar-SA"/>
              </w:rPr>
              <w:t xml:space="preserve"> </w:t>
            </w:r>
          </w:p>
          <w:p>
            <w:pPr>
              <w:pStyle w:val="24"/>
              <w:widowControl/>
              <w:spacing w:line="160" w:lineRule="exact"/>
              <w:jc w:val="center"/>
              <w:rPr>
                <w:rFonts w:hint="default"/>
                <w:snapToGrid w:val="0"/>
                <w:kern w:val="0"/>
                <w:sz w:val="15"/>
                <w:szCs w:val="15"/>
                <w:highlight w:val="none"/>
                <w:lang w:val="en-US" w:eastAsia="zh-CN" w:bidi="ar-SA"/>
              </w:rPr>
            </w:pPr>
            <w:r>
              <w:rPr>
                <w:snapToGrid w:val="0"/>
                <w:kern w:val="0"/>
                <w:sz w:val="15"/>
                <w:szCs w:val="15"/>
                <w:highlight w:val="none"/>
                <w:lang w:val="en-US" w:eastAsia="zh-CN" w:bidi="ar-SA"/>
              </w:rPr>
              <w:t>Ending Balanc</w:t>
            </w:r>
            <w:r>
              <w:rPr>
                <w:rFonts w:hint="eastAsia"/>
                <w:snapToGrid w:val="0"/>
                <w:kern w:val="0"/>
                <w:sz w:val="15"/>
                <w:szCs w:val="15"/>
                <w:highlight w:val="none"/>
                <w:lang w:val="en-US" w:eastAsia="zh-CN" w:bidi="ar-SA"/>
              </w:rPr>
              <w:t>e</w:t>
            </w:r>
          </w:p>
        </w:tc>
        <w:tc>
          <w:tcPr>
            <w:tcW w:w="2102"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资  金  来  源</w:t>
            </w:r>
          </w:p>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Sources of Fund</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 xml:space="preserve">行次Line No.             </w:t>
            </w:r>
          </w:p>
        </w:tc>
        <w:tc>
          <w:tcPr>
            <w:tcW w:w="1261"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期初数</w:t>
            </w:r>
            <w:r>
              <w:rPr>
                <w:rFonts w:hint="eastAsia"/>
                <w:snapToGrid w:val="0"/>
                <w:kern w:val="0"/>
                <w:sz w:val="15"/>
                <w:szCs w:val="15"/>
                <w:highlight w:val="none"/>
                <w:lang w:val="en-US" w:eastAsia="zh-CN" w:bidi="ar-SA"/>
              </w:rPr>
              <w:t xml:space="preserve"> </w:t>
            </w:r>
          </w:p>
          <w:p>
            <w:pPr>
              <w:pStyle w:val="24"/>
              <w:widowControl/>
              <w:spacing w:line="160" w:lineRule="exact"/>
              <w:jc w:val="center"/>
              <w:rPr>
                <w:rFonts w:hint="default"/>
                <w:snapToGrid w:val="0"/>
                <w:kern w:val="0"/>
                <w:sz w:val="15"/>
                <w:szCs w:val="15"/>
                <w:highlight w:val="none"/>
                <w:lang w:val="en-US" w:eastAsia="zh-CN" w:bidi="ar-SA"/>
              </w:rPr>
            </w:pPr>
            <w:r>
              <w:rPr>
                <w:snapToGrid w:val="0"/>
                <w:kern w:val="0"/>
                <w:sz w:val="15"/>
                <w:szCs w:val="15"/>
                <w:highlight w:val="none"/>
                <w:lang w:val="en-US" w:eastAsia="zh-CN" w:bidi="ar-SA"/>
              </w:rPr>
              <w:t>Beginning Balance</w:t>
            </w:r>
          </w:p>
        </w:tc>
        <w:tc>
          <w:tcPr>
            <w:tcW w:w="1259"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期末数</w:t>
            </w:r>
          </w:p>
          <w:p>
            <w:pPr>
              <w:pStyle w:val="24"/>
              <w:widowControl/>
              <w:spacing w:line="160" w:lineRule="exact"/>
              <w:jc w:val="center"/>
              <w:rPr>
                <w:rFonts w:hint="default"/>
                <w:snapToGrid w:val="0"/>
                <w:kern w:val="0"/>
                <w:sz w:val="15"/>
                <w:szCs w:val="15"/>
                <w:highlight w:val="none"/>
                <w:lang w:val="en-US" w:eastAsia="zh-CN" w:bidi="ar-SA"/>
              </w:rPr>
            </w:pPr>
            <w:r>
              <w:rPr>
                <w:snapToGrid w:val="0"/>
                <w:kern w:val="0"/>
                <w:sz w:val="15"/>
                <w:szCs w:val="15"/>
                <w:highlight w:val="none"/>
                <w:lang w:val="en-US" w:eastAsia="zh-CN" w:bidi="ar-SA"/>
              </w:rPr>
              <w:t>Ending Balance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一、项目支出合计             Total Project Expenditures                                                      </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1</w:t>
            </w:r>
          </w:p>
        </w:tc>
        <w:tc>
          <w:tcPr>
            <w:tcW w:w="1282"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 xml:space="preserve"> 124,257,527.22 </w:t>
            </w:r>
          </w:p>
        </w:tc>
        <w:tc>
          <w:tcPr>
            <w:tcW w:w="1259" w:type="dxa"/>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538,355,866.05 </w:t>
            </w:r>
            <w:r>
              <w:rPr>
                <w:rFonts w:hint="default"/>
                <w:kern w:val="2"/>
                <w:sz w:val="15"/>
                <w:szCs w:val="15"/>
                <w:highlight w:val="none"/>
                <w:lang w:val="en-US" w:eastAsia="zh-CN" w:bidi="ar-SA"/>
              </w:rPr>
              <w:t xml:space="preserve"> </w:t>
            </w:r>
          </w:p>
        </w:tc>
        <w:tc>
          <w:tcPr>
            <w:tcW w:w="2102"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一、项目拨款合计                                                                                                                         Total Project Appropriation Funds                           </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28</w:t>
            </w:r>
          </w:p>
        </w:tc>
        <w:tc>
          <w:tcPr>
            <w:tcW w:w="1261"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 xml:space="preserve"> 114,230,929.75 </w:t>
            </w:r>
          </w:p>
        </w:tc>
        <w:tc>
          <w:tcPr>
            <w:tcW w:w="1259" w:type="dxa"/>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124,502,507.15 </w:t>
            </w:r>
            <w:r>
              <w:rPr>
                <w:rFonts w:hint="default"/>
                <w:kern w:val="2"/>
                <w:sz w:val="15"/>
                <w:szCs w:val="15"/>
                <w:highlight w:val="none"/>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24"/>
              <w:widowControl/>
              <w:spacing w:line="160" w:lineRule="exact"/>
              <w:ind w:left="450" w:hanging="450" w:hangingChars="3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1. 交付使用资产                                                                                                                        Fixed Assets Transferred                                                   </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2</w:t>
            </w:r>
          </w:p>
        </w:tc>
        <w:tc>
          <w:tcPr>
            <w:tcW w:w="1282"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2102"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二、项目资本与项目资本公积                                                                                                                Project Capital and Capital Surplus</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29</w:t>
            </w:r>
          </w:p>
        </w:tc>
        <w:tc>
          <w:tcPr>
            <w:tcW w:w="1261"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24"/>
              <w:widowControl/>
              <w:spacing w:line="160" w:lineRule="exact"/>
              <w:ind w:left="450" w:hanging="450" w:hangingChars="3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2. 待核销项目支出                                                                                                             Construction Expenditures to be Disposed </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3</w:t>
            </w:r>
          </w:p>
        </w:tc>
        <w:tc>
          <w:tcPr>
            <w:tcW w:w="1282"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2102"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其中:捐赠款                                                                                                                        Including: Grants                                                                    </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30</w:t>
            </w:r>
          </w:p>
        </w:tc>
        <w:tc>
          <w:tcPr>
            <w:tcW w:w="1261"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5" w:hRule="atLeast"/>
        </w:trPr>
        <w:tc>
          <w:tcPr>
            <w:tcW w:w="2401" w:type="dxa"/>
            <w:vAlign w:val="center"/>
          </w:tcPr>
          <w:p>
            <w:pPr>
              <w:pStyle w:val="24"/>
              <w:widowControl/>
              <w:spacing w:line="160" w:lineRule="exact"/>
              <w:ind w:left="450" w:hanging="450" w:hangingChars="3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3. 转出投资                                                                                                                        Investments Transferred-out </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4</w:t>
            </w:r>
          </w:p>
        </w:tc>
        <w:tc>
          <w:tcPr>
            <w:tcW w:w="1282"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2102"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三、项目借款合计                                                                                                                           Total Project Loan </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31</w:t>
            </w:r>
          </w:p>
        </w:tc>
        <w:tc>
          <w:tcPr>
            <w:tcW w:w="1261"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 xml:space="preserve"> 48,145,933.08 </w:t>
            </w:r>
          </w:p>
        </w:tc>
        <w:tc>
          <w:tcPr>
            <w:tcW w:w="1259"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448,081,051.85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24"/>
              <w:widowControl/>
              <w:spacing w:line="160" w:lineRule="exact"/>
              <w:ind w:left="450" w:hanging="450" w:hangingChars="3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4. 在建工程                                                                                                                 Construction in Progress </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5</w:t>
            </w:r>
          </w:p>
        </w:tc>
        <w:tc>
          <w:tcPr>
            <w:tcW w:w="1282"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 xml:space="preserve"> 124,257,527.22 </w:t>
            </w:r>
          </w:p>
        </w:tc>
        <w:tc>
          <w:tcPr>
            <w:tcW w:w="1259" w:type="dxa"/>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538,355,866.05 </w:t>
            </w:r>
            <w:r>
              <w:rPr>
                <w:rFonts w:hint="default"/>
                <w:kern w:val="2"/>
                <w:sz w:val="15"/>
                <w:szCs w:val="15"/>
                <w:highlight w:val="none"/>
                <w:lang w:val="en-US" w:eastAsia="zh-CN" w:bidi="ar-SA"/>
              </w:rPr>
              <w:t xml:space="preserve"> </w:t>
            </w:r>
          </w:p>
        </w:tc>
        <w:tc>
          <w:tcPr>
            <w:tcW w:w="2102" w:type="dxa"/>
            <w:vAlign w:val="center"/>
          </w:tcPr>
          <w:p>
            <w:pPr>
              <w:pStyle w:val="24"/>
              <w:widowControl/>
              <w:spacing w:line="160" w:lineRule="exact"/>
              <w:ind w:left="450" w:hanging="450" w:hangingChars="3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1. 项目投资借款                                                                                                                          Total Project Investment Loan                                                      </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32</w:t>
            </w:r>
          </w:p>
        </w:tc>
        <w:tc>
          <w:tcPr>
            <w:tcW w:w="1261"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 xml:space="preserve"> 48,145,933.08 </w:t>
            </w:r>
          </w:p>
        </w:tc>
        <w:tc>
          <w:tcPr>
            <w:tcW w:w="1259"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448,081,051.85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二、应收生产单位投资借款                                                                                                             Investment Loan Receivable</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6</w:t>
            </w:r>
          </w:p>
        </w:tc>
        <w:tc>
          <w:tcPr>
            <w:tcW w:w="1282"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2102" w:type="dxa"/>
            <w:vAlign w:val="center"/>
          </w:tcPr>
          <w:p>
            <w:pPr>
              <w:pStyle w:val="24"/>
              <w:widowControl/>
              <w:spacing w:line="160" w:lineRule="exact"/>
              <w:ind w:left="525" w:hanging="525" w:hangingChars="35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(1) 国外借款                                                                                                                          Foreign Loan</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33</w:t>
            </w:r>
          </w:p>
        </w:tc>
        <w:tc>
          <w:tcPr>
            <w:tcW w:w="1261"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 xml:space="preserve"> 48,145,933.08 </w:t>
            </w:r>
          </w:p>
        </w:tc>
        <w:tc>
          <w:tcPr>
            <w:tcW w:w="1259"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448,081,051.85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其中:应收生产单位世行贷款                                                                                                       Including: World Bank Investment Loan Receivable        </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7</w:t>
            </w:r>
          </w:p>
        </w:tc>
        <w:tc>
          <w:tcPr>
            <w:tcW w:w="1282"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2102" w:type="dxa"/>
            <w:vAlign w:val="center"/>
          </w:tcPr>
          <w:p>
            <w:pPr>
              <w:pStyle w:val="24"/>
              <w:widowControl/>
              <w:spacing w:line="160" w:lineRule="exact"/>
              <w:ind w:left="529" w:leftChars="252"/>
              <w:jc w:val="left"/>
              <w:rPr>
                <w:snapToGrid w:val="0"/>
                <w:kern w:val="0"/>
                <w:sz w:val="15"/>
                <w:szCs w:val="15"/>
                <w:highlight w:val="none"/>
                <w:lang w:val="en-US" w:eastAsia="zh-CN" w:bidi="ar-SA"/>
              </w:rPr>
            </w:pPr>
            <w:r>
              <w:rPr>
                <w:snapToGrid w:val="0"/>
                <w:kern w:val="0"/>
                <w:sz w:val="15"/>
                <w:szCs w:val="15"/>
                <w:highlight w:val="none"/>
                <w:lang w:val="en-US" w:eastAsia="zh-CN" w:bidi="ar-SA"/>
              </w:rPr>
              <w:t>其中:国际开发协会                                            Including: IDA</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34</w:t>
            </w:r>
          </w:p>
        </w:tc>
        <w:tc>
          <w:tcPr>
            <w:tcW w:w="1261"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color w:val="auto"/>
                <w:kern w:val="2"/>
                <w:sz w:val="15"/>
                <w:szCs w:val="15"/>
                <w:highlight w:val="none"/>
                <w:lang w:val="en-US" w:eastAsia="zh-CN" w:bidi="ar-SA"/>
              </w:rPr>
            </w:pPr>
            <w:r>
              <w:rPr>
                <w:color w:val="auto"/>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77" w:hRule="atLeast"/>
        </w:trPr>
        <w:tc>
          <w:tcPr>
            <w:tcW w:w="2401"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三、拨付所属投资借款                                                                                                                    Appropriation of Investment Loan</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8</w:t>
            </w:r>
          </w:p>
        </w:tc>
        <w:tc>
          <w:tcPr>
            <w:tcW w:w="1282"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2102" w:type="dxa"/>
            <w:vAlign w:val="center"/>
          </w:tcPr>
          <w:p>
            <w:pPr>
              <w:pStyle w:val="24"/>
              <w:widowControl/>
              <w:spacing w:line="160" w:lineRule="exact"/>
              <w:ind w:left="825" w:hanging="825" w:hangingChars="55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国际复兴开发银行                                                                                                             IBRD               </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35</w:t>
            </w:r>
          </w:p>
        </w:tc>
        <w:tc>
          <w:tcPr>
            <w:tcW w:w="1261"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 xml:space="preserve"> 48,145,933.08 </w:t>
            </w:r>
          </w:p>
        </w:tc>
        <w:tc>
          <w:tcPr>
            <w:tcW w:w="1259"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448,081,051.85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其中:拨付世行贷款                                                                                                                 Including :Appropriation of World Bank Investment Loan </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9</w:t>
            </w:r>
          </w:p>
        </w:tc>
        <w:tc>
          <w:tcPr>
            <w:tcW w:w="1282"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2102" w:type="dxa"/>
            <w:vAlign w:val="center"/>
          </w:tcPr>
          <w:p>
            <w:pPr>
              <w:pStyle w:val="24"/>
              <w:widowControl/>
              <w:spacing w:line="160" w:lineRule="exact"/>
              <w:ind w:left="825" w:hanging="825" w:hangingChars="55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技术合作信贷                                                                                                                 Technical Cooperation                                                  </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36</w:t>
            </w:r>
          </w:p>
        </w:tc>
        <w:tc>
          <w:tcPr>
            <w:tcW w:w="1261"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四、器材                                                                                                                              Equipment                                                              </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10</w:t>
            </w:r>
          </w:p>
        </w:tc>
        <w:tc>
          <w:tcPr>
            <w:tcW w:w="1282"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2102" w:type="dxa"/>
            <w:vAlign w:val="center"/>
          </w:tcPr>
          <w:p>
            <w:pPr>
              <w:pStyle w:val="24"/>
              <w:widowControl/>
              <w:spacing w:line="160" w:lineRule="exact"/>
              <w:ind w:left="825" w:hanging="825" w:hangingChars="55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联合融资                                                                                                                        Co- Financing</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37</w:t>
            </w:r>
          </w:p>
        </w:tc>
        <w:tc>
          <w:tcPr>
            <w:tcW w:w="1261"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其中:待处理器材损失                                                                                                                    Including: Equipment Losses in Suspense     </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11</w:t>
            </w:r>
          </w:p>
        </w:tc>
        <w:tc>
          <w:tcPr>
            <w:tcW w:w="1282"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2102" w:type="dxa"/>
            <w:vAlign w:val="center"/>
          </w:tcPr>
          <w:p>
            <w:pPr>
              <w:pStyle w:val="24"/>
              <w:widowControl/>
              <w:spacing w:line="160" w:lineRule="exact"/>
              <w:ind w:left="525" w:hanging="525" w:hangingChars="35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(2) 国内借款                                                                                                                              Domestic Loan</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38</w:t>
            </w:r>
          </w:p>
        </w:tc>
        <w:tc>
          <w:tcPr>
            <w:tcW w:w="1261"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五、货币资金合计                                                                                                                          Total Cash and Bank                           </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12</w:t>
            </w:r>
          </w:p>
        </w:tc>
        <w:tc>
          <w:tcPr>
            <w:tcW w:w="1282"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 xml:space="preserve"> 31,414,402.18 </w:t>
            </w:r>
          </w:p>
        </w:tc>
        <w:tc>
          <w:tcPr>
            <w:tcW w:w="1259" w:type="dxa"/>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32,589,557.80 </w:t>
            </w:r>
          </w:p>
        </w:tc>
        <w:tc>
          <w:tcPr>
            <w:tcW w:w="2102" w:type="dxa"/>
            <w:vAlign w:val="center"/>
          </w:tcPr>
          <w:p>
            <w:pPr>
              <w:pStyle w:val="24"/>
              <w:widowControl/>
              <w:spacing w:line="160" w:lineRule="exact"/>
              <w:ind w:left="450" w:hanging="450" w:hangingChars="3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2. 其他借款                                                                                                                                  Other Loan</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39</w:t>
            </w:r>
          </w:p>
        </w:tc>
        <w:tc>
          <w:tcPr>
            <w:tcW w:w="1261"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24"/>
              <w:widowControl/>
              <w:spacing w:line="160" w:lineRule="exact"/>
              <w:ind w:left="450" w:hanging="450" w:hangingChars="3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1. 银行存款                                                                                                                          Cash in Bank      </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13</w:t>
            </w:r>
          </w:p>
        </w:tc>
        <w:tc>
          <w:tcPr>
            <w:tcW w:w="1282"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 xml:space="preserve"> 31,414,402.18 </w:t>
            </w:r>
          </w:p>
        </w:tc>
        <w:tc>
          <w:tcPr>
            <w:tcW w:w="1259" w:type="dxa"/>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32,589,557.80  </w:t>
            </w:r>
          </w:p>
        </w:tc>
        <w:tc>
          <w:tcPr>
            <w:tcW w:w="2102"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四、上级拨入投资借款                                                                                                                           Appropriation of Investment Loan                                                </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40</w:t>
            </w:r>
          </w:p>
        </w:tc>
        <w:tc>
          <w:tcPr>
            <w:tcW w:w="1261"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24"/>
              <w:widowControl/>
              <w:spacing w:line="160" w:lineRule="exact"/>
              <w:ind w:left="375" w:hanging="375" w:hangingChars="25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其中:专用账户存款                                                                                                           Including: Special Account          </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14</w:t>
            </w:r>
          </w:p>
        </w:tc>
        <w:tc>
          <w:tcPr>
            <w:tcW w:w="1282"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 xml:space="preserve"> 31,414,402.18 </w:t>
            </w:r>
          </w:p>
        </w:tc>
        <w:tc>
          <w:tcPr>
            <w:tcW w:w="1259" w:type="dxa"/>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32,589,557.80 </w:t>
            </w:r>
          </w:p>
        </w:tc>
        <w:tc>
          <w:tcPr>
            <w:tcW w:w="2102"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其中:拨入世行贷款                                                                                                                   Including: World Bank Loan                                                        </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41</w:t>
            </w:r>
          </w:p>
        </w:tc>
        <w:tc>
          <w:tcPr>
            <w:tcW w:w="1261"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24"/>
              <w:widowControl/>
              <w:spacing w:line="160" w:lineRule="exact"/>
              <w:ind w:left="450" w:hanging="450" w:hangingChars="3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2. 现金                                                                                                                                    Cash on Hand                                  </w:t>
            </w:r>
          </w:p>
        </w:tc>
        <w:tc>
          <w:tcPr>
            <w:tcW w:w="453"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15</w:t>
            </w:r>
          </w:p>
        </w:tc>
        <w:tc>
          <w:tcPr>
            <w:tcW w:w="1282"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2102" w:type="dxa"/>
            <w:vAlign w:val="center"/>
          </w:tcPr>
          <w:p>
            <w:pPr>
              <w:pStyle w:val="24"/>
              <w:widowControl/>
              <w:spacing w:line="16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五、企业债券资金                                                                                                                                  Bond Fund                                                     </w:t>
            </w:r>
          </w:p>
        </w:tc>
        <w:tc>
          <w:tcPr>
            <w:tcW w:w="420" w:type="dxa"/>
            <w:vAlign w:val="center"/>
          </w:tcPr>
          <w:p>
            <w:pPr>
              <w:pStyle w:val="24"/>
              <w:widowControl/>
              <w:spacing w:line="16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42</w:t>
            </w:r>
          </w:p>
        </w:tc>
        <w:tc>
          <w:tcPr>
            <w:tcW w:w="1261"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r>
    </w:tbl>
    <w:p>
      <w:pPr>
        <w:pStyle w:val="24"/>
        <w:widowControl/>
        <w:ind w:left="0" w:leftChars="-86" w:hanging="180" w:hangingChars="100"/>
        <w:jc w:val="left"/>
        <w:rPr>
          <w:snapToGrid w:val="0"/>
          <w:kern w:val="0"/>
          <w:sz w:val="18"/>
          <w:szCs w:val="18"/>
          <w:highlight w:val="none"/>
          <w:lang w:val="en-US" w:eastAsia="zh-CN" w:bidi="ar-SA"/>
        </w:rPr>
      </w:pPr>
      <w:r>
        <w:rPr>
          <w:rFonts w:eastAsia="仿宋_GB2312"/>
          <w:snapToGrid w:val="0"/>
          <w:kern w:val="0"/>
          <w:sz w:val="18"/>
          <w:szCs w:val="18"/>
          <w:highlight w:val="none"/>
          <w:lang w:val="en-US" w:eastAsia="zh-CN" w:bidi="ar-SA"/>
        </w:rPr>
        <w:t>后续（To be continued）</w:t>
      </w:r>
    </w:p>
    <w:tbl>
      <w:tblPr>
        <w:tblStyle w:val="6"/>
        <w:tblW w:w="10437" w:type="dxa"/>
        <w:tblInd w:w="-53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400"/>
        <w:gridCol w:w="452"/>
        <w:gridCol w:w="1284"/>
        <w:gridCol w:w="1259"/>
        <w:gridCol w:w="2100"/>
        <w:gridCol w:w="422"/>
        <w:gridCol w:w="1261"/>
        <w:gridCol w:w="1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24"/>
              <w:widowControl/>
              <w:spacing w:line="24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六、预付及应收款合计                                                                                                                    Total Prepaid and Receivable                                                </w:t>
            </w:r>
          </w:p>
        </w:tc>
        <w:tc>
          <w:tcPr>
            <w:tcW w:w="45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16</w:t>
            </w:r>
          </w:p>
        </w:tc>
        <w:tc>
          <w:tcPr>
            <w:tcW w:w="1284"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 xml:space="preserve"> 6,718,412.05 </w:t>
            </w:r>
          </w:p>
        </w:tc>
        <w:tc>
          <w:tcPr>
            <w:tcW w:w="1259" w:type="dxa"/>
            <w:vAlign w:val="center"/>
          </w:tcPr>
          <w:p>
            <w:pPr>
              <w:pStyle w:val="24"/>
              <w:jc w:val="right"/>
              <w:rPr>
                <w:rFonts w:hint="eastAsia" w:eastAsia="宋体"/>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69,290,135.32</w:t>
            </w:r>
            <w:r>
              <w:rPr>
                <w:rFonts w:hint="default"/>
                <w:kern w:val="2"/>
                <w:sz w:val="15"/>
                <w:szCs w:val="15"/>
                <w:highlight w:val="none"/>
                <w:lang w:val="en-US" w:eastAsia="zh-CN" w:bidi="ar-SA"/>
              </w:rPr>
              <w:t xml:space="preserve"> </w:t>
            </w:r>
          </w:p>
        </w:tc>
        <w:tc>
          <w:tcPr>
            <w:tcW w:w="2100" w:type="dxa"/>
            <w:vAlign w:val="center"/>
          </w:tcPr>
          <w:p>
            <w:pPr>
              <w:pStyle w:val="24"/>
              <w:widowControl/>
              <w:spacing w:line="24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六、待冲项目支出                                                                                                                            Construction Expenditures to be Offset                                                    </w:t>
            </w:r>
          </w:p>
        </w:tc>
        <w:tc>
          <w:tcPr>
            <w:tcW w:w="42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43</w:t>
            </w:r>
          </w:p>
        </w:tc>
        <w:tc>
          <w:tcPr>
            <w:tcW w:w="1261"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24"/>
              <w:widowControl/>
              <w:spacing w:line="24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其中:应收世行贷款利息                                                                                                          Including: World Bank Loan Interest Receivable</w:t>
            </w:r>
          </w:p>
        </w:tc>
        <w:tc>
          <w:tcPr>
            <w:tcW w:w="45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17</w:t>
            </w:r>
          </w:p>
        </w:tc>
        <w:tc>
          <w:tcPr>
            <w:tcW w:w="1284"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0.00</w:t>
            </w:r>
          </w:p>
        </w:tc>
        <w:tc>
          <w:tcPr>
            <w:tcW w:w="2100" w:type="dxa"/>
            <w:vAlign w:val="center"/>
          </w:tcPr>
          <w:p>
            <w:pPr>
              <w:pStyle w:val="24"/>
              <w:widowControl/>
              <w:spacing w:line="24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七、应付款合计                                                                                                                               Total Payables                                                    </w:t>
            </w:r>
          </w:p>
        </w:tc>
        <w:tc>
          <w:tcPr>
            <w:tcW w:w="42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44</w:t>
            </w:r>
          </w:p>
        </w:tc>
        <w:tc>
          <w:tcPr>
            <w:tcW w:w="1261" w:type="dxa"/>
            <w:vAlign w:val="center"/>
          </w:tcPr>
          <w:p>
            <w:pPr>
              <w:pStyle w:val="24"/>
              <w:jc w:val="right"/>
              <w:rPr>
                <w:rFonts w:hint="eastAsia" w:eastAsia="宋体"/>
                <w:snapToGrid w:val="0"/>
                <w:kern w:val="0"/>
                <w:sz w:val="15"/>
                <w:szCs w:val="15"/>
                <w:highlight w:val="none"/>
                <w:lang w:val="en-US" w:eastAsia="zh-CN" w:bidi="ar-SA"/>
              </w:rPr>
            </w:pPr>
            <w:r>
              <w:rPr>
                <w:rFonts w:hint="eastAsia"/>
                <w:kern w:val="2"/>
                <w:sz w:val="15"/>
                <w:szCs w:val="15"/>
                <w:highlight w:val="none"/>
                <w:lang w:val="en-US" w:eastAsia="zh-CN" w:bidi="ar-SA"/>
              </w:rPr>
              <w:t xml:space="preserve"> 1,670.00 </w:t>
            </w:r>
          </w:p>
        </w:tc>
        <w:tc>
          <w:tcPr>
            <w:tcW w:w="1259" w:type="dxa"/>
            <w:vAlign w:val="center"/>
          </w:tcPr>
          <w:p>
            <w:pPr>
              <w:pStyle w:val="24"/>
              <w:jc w:val="right"/>
              <w:rPr>
                <w:rFonts w:hint="eastAsia" w:eastAsia="宋体"/>
                <w:snapToGrid w:val="0"/>
                <w:kern w:val="0"/>
                <w:sz w:val="15"/>
                <w:szCs w:val="15"/>
                <w:highlight w:val="none"/>
                <w:lang w:val="en-US" w:eastAsia="zh-CN" w:bidi="ar-SA"/>
              </w:rPr>
            </w:pPr>
            <w:r>
              <w:rPr>
                <w:rFonts w:hint="eastAsia"/>
                <w:color w:val="auto"/>
                <w:kern w:val="2"/>
                <w:sz w:val="15"/>
                <w:szCs w:val="15"/>
                <w:highlight w:val="none"/>
                <w:lang w:val="en-US" w:eastAsia="zh-CN" w:bidi="ar-SA"/>
              </w:rPr>
              <w:t xml:space="preserve"> 67,619,886.77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24"/>
              <w:widowControl/>
              <w:spacing w:line="240" w:lineRule="exact"/>
              <w:ind w:left="600" w:hanging="600" w:hangingChars="4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应收世行贷款承诺费                                                                                                              World Bank Loan Commitment Fee Receivable                                                  </w:t>
            </w:r>
          </w:p>
        </w:tc>
        <w:tc>
          <w:tcPr>
            <w:tcW w:w="45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18</w:t>
            </w:r>
          </w:p>
        </w:tc>
        <w:tc>
          <w:tcPr>
            <w:tcW w:w="1284"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2100" w:type="dxa"/>
            <w:vAlign w:val="center"/>
          </w:tcPr>
          <w:p>
            <w:pPr>
              <w:pStyle w:val="24"/>
              <w:widowControl/>
              <w:spacing w:line="24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其中:应付世行贷款利息                                                                                                             Including: World Bank Loan Interest Payables                                                 </w:t>
            </w:r>
          </w:p>
        </w:tc>
        <w:tc>
          <w:tcPr>
            <w:tcW w:w="42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45</w:t>
            </w:r>
          </w:p>
        </w:tc>
        <w:tc>
          <w:tcPr>
            <w:tcW w:w="1261"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24"/>
              <w:widowControl/>
              <w:spacing w:line="240" w:lineRule="exact"/>
              <w:ind w:left="525" w:hanging="525" w:hangingChars="35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应收世行贷款资金占用费                                                                                                              World Bank Loan Service- Fee Receivable                           </w:t>
            </w:r>
          </w:p>
        </w:tc>
        <w:tc>
          <w:tcPr>
            <w:tcW w:w="45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19</w:t>
            </w:r>
          </w:p>
        </w:tc>
        <w:tc>
          <w:tcPr>
            <w:tcW w:w="1284"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2100" w:type="dxa"/>
            <w:vAlign w:val="center"/>
          </w:tcPr>
          <w:p>
            <w:pPr>
              <w:pStyle w:val="24"/>
              <w:widowControl/>
              <w:spacing w:line="240" w:lineRule="exact"/>
              <w:ind w:left="600" w:hanging="600" w:hangingChars="4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应付世行贷款承诺费                                                                                                                                 World Bank Loan Commitment Fee Payables                                                    </w:t>
            </w:r>
          </w:p>
        </w:tc>
        <w:tc>
          <w:tcPr>
            <w:tcW w:w="42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46</w:t>
            </w:r>
          </w:p>
        </w:tc>
        <w:tc>
          <w:tcPr>
            <w:tcW w:w="1261"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24"/>
              <w:widowControl/>
              <w:spacing w:line="24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七、有价证券                                                                                                                              Marketable Securities                                                          </w:t>
            </w:r>
          </w:p>
        </w:tc>
        <w:tc>
          <w:tcPr>
            <w:tcW w:w="45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20</w:t>
            </w:r>
          </w:p>
        </w:tc>
        <w:tc>
          <w:tcPr>
            <w:tcW w:w="1284"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2100" w:type="dxa"/>
            <w:vAlign w:val="center"/>
          </w:tcPr>
          <w:p>
            <w:pPr>
              <w:pStyle w:val="24"/>
              <w:widowControl/>
              <w:spacing w:line="240" w:lineRule="exact"/>
              <w:ind w:left="375" w:hanging="375" w:hangingChars="25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应付世行贷款资金占用费                                                                                                         World Bank Loan Service Fee Payables                                          </w:t>
            </w:r>
          </w:p>
        </w:tc>
        <w:tc>
          <w:tcPr>
            <w:tcW w:w="42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47</w:t>
            </w:r>
          </w:p>
        </w:tc>
        <w:tc>
          <w:tcPr>
            <w:tcW w:w="1261"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24"/>
              <w:widowControl/>
              <w:spacing w:line="24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八、固定资产合计                                                                                                                         Total Fixed Assets                                                    </w:t>
            </w:r>
          </w:p>
        </w:tc>
        <w:tc>
          <w:tcPr>
            <w:tcW w:w="45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21</w:t>
            </w:r>
          </w:p>
        </w:tc>
        <w:tc>
          <w:tcPr>
            <w:tcW w:w="1284"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2100" w:type="dxa"/>
            <w:vAlign w:val="center"/>
          </w:tcPr>
          <w:p>
            <w:pPr>
              <w:pStyle w:val="24"/>
              <w:widowControl/>
              <w:spacing w:line="24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八、未交款合计                                                                                                                                Total Other Payables</w:t>
            </w:r>
          </w:p>
        </w:tc>
        <w:tc>
          <w:tcPr>
            <w:tcW w:w="42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48</w:t>
            </w:r>
          </w:p>
        </w:tc>
        <w:tc>
          <w:tcPr>
            <w:tcW w:w="1261"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24"/>
              <w:widowControl/>
              <w:spacing w:line="24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固定资产原价                                                                                                                           Fixed Assets, Cost      </w:t>
            </w:r>
          </w:p>
        </w:tc>
        <w:tc>
          <w:tcPr>
            <w:tcW w:w="45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22</w:t>
            </w:r>
          </w:p>
        </w:tc>
        <w:tc>
          <w:tcPr>
            <w:tcW w:w="1284"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2100" w:type="dxa"/>
            <w:vAlign w:val="center"/>
          </w:tcPr>
          <w:p>
            <w:pPr>
              <w:pStyle w:val="24"/>
              <w:widowControl/>
              <w:spacing w:line="24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九、上级拨入资金                                                                                                                    Appropriation of Fund                                                        </w:t>
            </w:r>
          </w:p>
        </w:tc>
        <w:tc>
          <w:tcPr>
            <w:tcW w:w="42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49</w:t>
            </w:r>
          </w:p>
        </w:tc>
        <w:tc>
          <w:tcPr>
            <w:tcW w:w="1261"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21"/>
                <w:highlight w:val="none"/>
                <w:lang w:val="en-US" w:eastAsia="zh-CN" w:bidi="ar-SA"/>
              </w:rPr>
            </w:pPr>
            <w:r>
              <w:rPr>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24"/>
              <w:widowControl/>
              <w:spacing w:line="240" w:lineRule="exact"/>
              <w:ind w:left="450" w:hanging="450" w:hangingChars="3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减:累计折旧                                                                                                                             Less: Accumulated Depreciation                                        </w:t>
            </w:r>
          </w:p>
        </w:tc>
        <w:tc>
          <w:tcPr>
            <w:tcW w:w="45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23</w:t>
            </w:r>
          </w:p>
        </w:tc>
        <w:tc>
          <w:tcPr>
            <w:tcW w:w="1284"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2100" w:type="dxa"/>
            <w:vAlign w:val="center"/>
          </w:tcPr>
          <w:p>
            <w:pPr>
              <w:pStyle w:val="24"/>
              <w:widowControl/>
              <w:spacing w:line="24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十、留成收入                                                                                                                            Retained Earnings                            </w:t>
            </w:r>
          </w:p>
        </w:tc>
        <w:tc>
          <w:tcPr>
            <w:tcW w:w="42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50</w:t>
            </w:r>
          </w:p>
        </w:tc>
        <w:tc>
          <w:tcPr>
            <w:tcW w:w="1261"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 xml:space="preserve"> 11,808.62 </w:t>
            </w:r>
          </w:p>
        </w:tc>
        <w:tc>
          <w:tcPr>
            <w:tcW w:w="1259" w:type="dxa"/>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32,113.40</w:t>
            </w:r>
            <w:r>
              <w:rPr>
                <w:rFonts w:hint="default"/>
                <w:kern w:val="2"/>
                <w:sz w:val="15"/>
                <w:szCs w:val="15"/>
                <w:highlight w:val="none"/>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24"/>
              <w:widowControl/>
              <w:spacing w:line="24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固定资产净值                                                                                                    Fixed Assets, Net                                                       </w:t>
            </w:r>
          </w:p>
        </w:tc>
        <w:tc>
          <w:tcPr>
            <w:tcW w:w="45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24</w:t>
            </w:r>
          </w:p>
        </w:tc>
        <w:tc>
          <w:tcPr>
            <w:tcW w:w="1284"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2100" w:type="dxa"/>
            <w:vAlign w:val="center"/>
          </w:tcPr>
          <w:p>
            <w:pPr>
              <w:pStyle w:val="24"/>
              <w:widowControl/>
              <w:spacing w:line="240" w:lineRule="exact"/>
              <w:jc w:val="center"/>
              <w:rPr>
                <w:snapToGrid w:val="0"/>
                <w:kern w:val="0"/>
                <w:sz w:val="15"/>
                <w:szCs w:val="15"/>
                <w:highlight w:val="none"/>
                <w:lang w:val="en-US" w:eastAsia="zh-CN" w:bidi="ar-SA"/>
              </w:rPr>
            </w:pPr>
          </w:p>
        </w:tc>
        <w:tc>
          <w:tcPr>
            <w:tcW w:w="42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　</w:t>
            </w:r>
          </w:p>
        </w:tc>
        <w:tc>
          <w:tcPr>
            <w:tcW w:w="1261" w:type="dxa"/>
            <w:vAlign w:val="center"/>
          </w:tcPr>
          <w:p>
            <w:pPr>
              <w:pStyle w:val="24"/>
              <w:tabs>
                <w:tab w:val="center" w:pos="599"/>
                <w:tab w:val="right" w:pos="1394"/>
              </w:tabs>
              <w:spacing w:line="240" w:lineRule="exact"/>
              <w:jc w:val="right"/>
              <w:rPr>
                <w:snapToGrid w:val="0"/>
                <w:kern w:val="0"/>
                <w:sz w:val="21"/>
                <w:highlight w:val="none"/>
                <w:lang w:val="en-US" w:eastAsia="zh-CN" w:bidi="ar-SA"/>
              </w:rPr>
            </w:pPr>
            <w:r>
              <w:rPr>
                <w:snapToGrid w:val="0"/>
                <w:kern w:val="0"/>
                <w:sz w:val="15"/>
                <w:szCs w:val="15"/>
                <w:highlight w:val="none"/>
                <w:lang w:val="en-US" w:eastAsia="zh-CN" w:bidi="ar-SA"/>
              </w:rPr>
              <w:tab/>
            </w:r>
            <w:r>
              <w:rPr>
                <w:snapToGrid w:val="0"/>
                <w:kern w:val="0"/>
                <w:sz w:val="15"/>
                <w:szCs w:val="15"/>
                <w:highlight w:val="none"/>
                <w:lang w:val="en-US" w:eastAsia="zh-CN" w:bidi="ar-SA"/>
              </w:rPr>
              <w:t xml:space="preserve">        </w:t>
            </w:r>
            <w:r>
              <w:rPr>
                <w:snapToGrid w:val="0"/>
                <w:kern w:val="0"/>
                <w:sz w:val="15"/>
                <w:szCs w:val="15"/>
                <w:highlight w:val="none"/>
                <w:lang w:val="en-US" w:eastAsia="zh-CN" w:bidi="ar-SA"/>
              </w:rPr>
              <w:tab/>
            </w:r>
            <w:r>
              <w:rPr>
                <w:snapToGrid w:val="0"/>
                <w:kern w:val="0"/>
                <w:sz w:val="15"/>
                <w:szCs w:val="15"/>
                <w:highlight w:val="none"/>
                <w:lang w:val="en-US" w:eastAsia="zh-CN" w:bidi="ar-SA"/>
              </w:rPr>
              <w:t xml:space="preserve"> </w:t>
            </w:r>
          </w:p>
        </w:tc>
        <w:tc>
          <w:tcPr>
            <w:tcW w:w="1259" w:type="dxa"/>
            <w:vAlign w:val="center"/>
          </w:tcPr>
          <w:p>
            <w:pPr>
              <w:pStyle w:val="24"/>
              <w:tabs>
                <w:tab w:val="center" w:pos="599"/>
                <w:tab w:val="right" w:pos="1394"/>
              </w:tabs>
              <w:spacing w:line="240" w:lineRule="exact"/>
              <w:jc w:val="right"/>
              <w:rPr>
                <w:snapToGrid w:val="0"/>
                <w:kern w:val="0"/>
                <w:sz w:val="21"/>
                <w:highlight w:val="none"/>
                <w:lang w:val="en-US" w:eastAsia="zh-CN" w:bidi="ar-SA"/>
              </w:rPr>
            </w:pPr>
            <w:r>
              <w:rPr>
                <w:snapToGrid w:val="0"/>
                <w:kern w:val="0"/>
                <w:sz w:val="15"/>
                <w:szCs w:val="15"/>
                <w:highlight w:val="none"/>
                <w:lang w:val="en-US" w:eastAsia="zh-CN" w:bidi="ar-SA"/>
              </w:rPr>
              <w:tab/>
            </w:r>
            <w:r>
              <w:rPr>
                <w:snapToGrid w:val="0"/>
                <w:kern w:val="0"/>
                <w:sz w:val="15"/>
                <w:szCs w:val="15"/>
                <w:highlight w:val="none"/>
                <w:lang w:val="en-US" w:eastAsia="zh-CN" w:bidi="ar-SA"/>
              </w:rPr>
              <w:t xml:space="preserve">        </w:t>
            </w:r>
            <w:r>
              <w:rPr>
                <w:snapToGrid w:val="0"/>
                <w:kern w:val="0"/>
                <w:sz w:val="15"/>
                <w:szCs w:val="15"/>
                <w:highlight w:val="none"/>
                <w:lang w:val="en-US" w:eastAsia="zh-CN" w:bidi="ar-SA"/>
              </w:rPr>
              <w:tab/>
            </w:r>
            <w:r>
              <w:rPr>
                <w:snapToGrid w:val="0"/>
                <w:kern w:val="0"/>
                <w:sz w:val="15"/>
                <w:szCs w:val="15"/>
                <w:highlight w:val="none"/>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24"/>
              <w:widowControl/>
              <w:spacing w:line="24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固定资产清理                                                                                                                          Fixed Assets Pending Disposal                            </w:t>
            </w:r>
          </w:p>
        </w:tc>
        <w:tc>
          <w:tcPr>
            <w:tcW w:w="45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25</w:t>
            </w:r>
          </w:p>
        </w:tc>
        <w:tc>
          <w:tcPr>
            <w:tcW w:w="1284"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2100"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　</w:t>
            </w:r>
          </w:p>
        </w:tc>
        <w:tc>
          <w:tcPr>
            <w:tcW w:w="42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　</w:t>
            </w:r>
          </w:p>
        </w:tc>
        <w:tc>
          <w:tcPr>
            <w:tcW w:w="1261" w:type="dxa"/>
            <w:vAlign w:val="center"/>
          </w:tcPr>
          <w:p>
            <w:pPr>
              <w:pStyle w:val="24"/>
              <w:jc w:val="right"/>
              <w:rPr>
                <w:snapToGrid w:val="0"/>
                <w:kern w:val="0"/>
                <w:sz w:val="15"/>
                <w:szCs w:val="15"/>
                <w:highlight w:val="none"/>
                <w:lang w:val="en-US" w:eastAsia="zh-CN" w:bidi="ar-SA"/>
              </w:rPr>
            </w:pPr>
          </w:p>
        </w:tc>
        <w:tc>
          <w:tcPr>
            <w:tcW w:w="1259" w:type="dxa"/>
            <w:vAlign w:val="center"/>
          </w:tcPr>
          <w:p>
            <w:pPr>
              <w:pStyle w:val="24"/>
              <w:jc w:val="right"/>
              <w:rPr>
                <w:snapToGrid w:val="0"/>
                <w:kern w:val="0"/>
                <w:sz w:val="15"/>
                <w:szCs w:val="15"/>
                <w:highlight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24"/>
              <w:widowControl/>
              <w:spacing w:line="240" w:lineRule="exact"/>
              <w:ind w:left="226" w:leftChars="108"/>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待处理固定资产损失                                                                                                               Fixed Assets Losses in Suspense                           </w:t>
            </w:r>
          </w:p>
        </w:tc>
        <w:tc>
          <w:tcPr>
            <w:tcW w:w="45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26</w:t>
            </w:r>
          </w:p>
        </w:tc>
        <w:tc>
          <w:tcPr>
            <w:tcW w:w="1284"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1259" w:type="dxa"/>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0.00</w:t>
            </w:r>
          </w:p>
        </w:tc>
        <w:tc>
          <w:tcPr>
            <w:tcW w:w="2100"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　</w:t>
            </w:r>
          </w:p>
        </w:tc>
        <w:tc>
          <w:tcPr>
            <w:tcW w:w="42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　</w:t>
            </w:r>
          </w:p>
        </w:tc>
        <w:tc>
          <w:tcPr>
            <w:tcW w:w="1261" w:type="dxa"/>
            <w:vAlign w:val="center"/>
          </w:tcPr>
          <w:p>
            <w:pPr>
              <w:pStyle w:val="24"/>
              <w:jc w:val="right"/>
              <w:rPr>
                <w:snapToGrid w:val="0"/>
                <w:kern w:val="0"/>
                <w:sz w:val="15"/>
                <w:szCs w:val="15"/>
                <w:highlight w:val="none"/>
                <w:lang w:val="en-US" w:eastAsia="zh-CN" w:bidi="ar-SA"/>
              </w:rPr>
            </w:pPr>
          </w:p>
        </w:tc>
        <w:tc>
          <w:tcPr>
            <w:tcW w:w="1259" w:type="dxa"/>
            <w:vAlign w:val="center"/>
          </w:tcPr>
          <w:p>
            <w:pPr>
              <w:pStyle w:val="24"/>
              <w:jc w:val="right"/>
              <w:rPr>
                <w:snapToGrid w:val="0"/>
                <w:kern w:val="0"/>
                <w:sz w:val="15"/>
                <w:szCs w:val="15"/>
                <w:highlight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 xml:space="preserve">资金占用合计                                                                                                                           Total Application of Fund                              </w:t>
            </w:r>
          </w:p>
        </w:tc>
        <w:tc>
          <w:tcPr>
            <w:tcW w:w="45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27</w:t>
            </w:r>
          </w:p>
        </w:tc>
        <w:tc>
          <w:tcPr>
            <w:tcW w:w="1284" w:type="dxa"/>
            <w:vAlign w:val="center"/>
          </w:tcPr>
          <w:p>
            <w:pPr>
              <w:pStyle w:val="24"/>
              <w:jc w:val="right"/>
              <w:rPr>
                <w:snapToGrid w:val="0"/>
                <w:kern w:val="0"/>
                <w:sz w:val="15"/>
                <w:szCs w:val="15"/>
                <w:highlight w:val="none"/>
                <w:lang w:val="en-US" w:eastAsia="zh-CN" w:bidi="ar-SA"/>
              </w:rPr>
            </w:pPr>
            <w:r>
              <w:rPr>
                <w:rFonts w:hint="default"/>
                <w:kern w:val="2"/>
                <w:sz w:val="15"/>
                <w:szCs w:val="15"/>
                <w:highlight w:val="none"/>
                <w:lang w:val="en-US" w:eastAsia="zh-CN" w:bidi="ar-SA"/>
              </w:rPr>
              <w:t xml:space="preserve">162,390,341.45 </w:t>
            </w:r>
          </w:p>
        </w:tc>
        <w:tc>
          <w:tcPr>
            <w:tcW w:w="1259" w:type="dxa"/>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640,235,559.17</w:t>
            </w:r>
            <w:r>
              <w:rPr>
                <w:rFonts w:hint="default"/>
                <w:kern w:val="2"/>
                <w:sz w:val="15"/>
                <w:szCs w:val="15"/>
                <w:highlight w:val="none"/>
                <w:lang w:val="en-US" w:eastAsia="zh-CN" w:bidi="ar-SA"/>
              </w:rPr>
              <w:t xml:space="preserve"> </w:t>
            </w:r>
          </w:p>
        </w:tc>
        <w:tc>
          <w:tcPr>
            <w:tcW w:w="2100"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 xml:space="preserve">资金来源合计                                                                                                                               Total Sources of Fund                                                                                                   </w:t>
            </w:r>
          </w:p>
        </w:tc>
        <w:tc>
          <w:tcPr>
            <w:tcW w:w="422" w:type="dxa"/>
            <w:vAlign w:val="center"/>
          </w:tcPr>
          <w:p>
            <w:pPr>
              <w:pStyle w:val="24"/>
              <w:widowControl/>
              <w:spacing w:line="24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51</w:t>
            </w:r>
          </w:p>
        </w:tc>
        <w:tc>
          <w:tcPr>
            <w:tcW w:w="1261" w:type="dxa"/>
            <w:vAlign w:val="center"/>
          </w:tcPr>
          <w:p>
            <w:pPr>
              <w:pStyle w:val="24"/>
              <w:jc w:val="right"/>
              <w:rPr>
                <w:rFonts w:hint="default"/>
                <w:kern w:val="2"/>
                <w:sz w:val="15"/>
                <w:szCs w:val="15"/>
                <w:highlight w:val="none"/>
                <w:lang w:val="en-US" w:eastAsia="zh-CN" w:bidi="ar-SA"/>
              </w:rPr>
            </w:pPr>
            <w:r>
              <w:rPr>
                <w:rFonts w:hint="default"/>
                <w:kern w:val="2"/>
                <w:sz w:val="15"/>
                <w:szCs w:val="15"/>
                <w:highlight w:val="none"/>
                <w:lang w:val="en-US" w:eastAsia="zh-CN" w:bidi="ar-SA"/>
              </w:rPr>
              <w:t xml:space="preserve">162,390,341.45 </w:t>
            </w:r>
          </w:p>
        </w:tc>
        <w:tc>
          <w:tcPr>
            <w:tcW w:w="1259" w:type="dxa"/>
            <w:vAlign w:val="center"/>
          </w:tcPr>
          <w:p>
            <w:pPr>
              <w:pStyle w:val="24"/>
              <w:jc w:val="right"/>
              <w:rPr>
                <w:rFonts w:hint="default"/>
                <w:kern w:val="2"/>
                <w:sz w:val="15"/>
                <w:szCs w:val="15"/>
                <w:highlight w:val="none"/>
                <w:lang w:val="en-US" w:eastAsia="zh-CN" w:bidi="ar-SA"/>
              </w:rPr>
            </w:pPr>
            <w:r>
              <w:rPr>
                <w:rFonts w:hint="default"/>
                <w:color w:val="auto"/>
                <w:kern w:val="2"/>
                <w:sz w:val="15"/>
                <w:szCs w:val="15"/>
                <w:highlight w:val="none"/>
                <w:lang w:val="en-US" w:eastAsia="zh-CN" w:bidi="ar-SA"/>
              </w:rPr>
              <w:t>640,235,559.17</w:t>
            </w:r>
          </w:p>
        </w:tc>
      </w:tr>
    </w:tbl>
    <w:p>
      <w:pPr>
        <w:pStyle w:val="24"/>
        <w:snapToGrid w:val="0"/>
        <w:spacing w:line="120" w:lineRule="atLeast"/>
        <w:rPr>
          <w:rFonts w:eastAsia="仿宋_GB2312"/>
          <w:snapToGrid w:val="0"/>
          <w:kern w:val="0"/>
          <w:sz w:val="21"/>
          <w:highlight w:val="none"/>
          <w:lang w:val="en-US" w:eastAsia="zh-CN" w:bidi="ar-SA"/>
        </w:rPr>
      </w:pPr>
    </w:p>
    <w:p>
      <w:pPr>
        <w:pStyle w:val="24"/>
        <w:snapToGrid w:val="0"/>
        <w:spacing w:line="120" w:lineRule="atLeast"/>
        <w:rPr>
          <w:rFonts w:eastAsia="仿宋_GB2312"/>
          <w:snapToGrid w:val="0"/>
          <w:kern w:val="0"/>
          <w:sz w:val="21"/>
          <w:highlight w:val="none"/>
          <w:lang w:val="en-US" w:eastAsia="zh-CN" w:bidi="ar-SA"/>
        </w:rPr>
        <w:sectPr>
          <w:footerReference r:id="rId3" w:type="default"/>
          <w:footerReference r:id="rId4" w:type="even"/>
          <w:footnotePr>
            <w:numRestart w:val="eachPage"/>
          </w:footnotePr>
          <w:pgSz w:w="11850" w:h="16783"/>
          <w:pgMar w:top="2098" w:right="1474" w:bottom="1985" w:left="1588" w:header="851" w:footer="992" w:gutter="0"/>
          <w:pgNumType w:start="1"/>
          <w:cols w:space="720" w:num="1"/>
          <w:docGrid w:type="linesAndChars" w:linePitch="312" w:charSpace="0"/>
        </w:sectPr>
      </w:pPr>
    </w:p>
    <w:p>
      <w:pPr>
        <w:pStyle w:val="20"/>
        <w:rPr>
          <w:rFonts w:ascii="Times New Roman" w:eastAsia="仿宋_GB2312"/>
          <w:b w:val="0"/>
          <w:bCs w:val="0"/>
          <w:snapToGrid w:val="0"/>
          <w:kern w:val="0"/>
          <w:sz w:val="28"/>
          <w:szCs w:val="30"/>
          <w:highlight w:val="none"/>
          <w:lang w:val="en-US" w:eastAsia="zh-CN" w:bidi="ar-SA"/>
        </w:rPr>
      </w:pPr>
      <w:bookmarkStart w:id="5" w:name="_Toc516757255"/>
      <w:r>
        <w:rPr>
          <w:rFonts w:ascii="Times New Roman" w:eastAsia="仿宋_GB2312"/>
          <w:b w:val="0"/>
          <w:bCs w:val="0"/>
          <w:snapToGrid w:val="0"/>
          <w:kern w:val="0"/>
          <w:sz w:val="28"/>
          <w:szCs w:val="30"/>
          <w:highlight w:val="none"/>
          <w:lang w:val="en-US" w:eastAsia="zh-CN" w:bidi="ar-SA"/>
        </w:rPr>
        <w:t>（二）项目进度表</w:t>
      </w:r>
      <w:bookmarkEnd w:id="5"/>
    </w:p>
    <w:p>
      <w:pPr>
        <w:pStyle w:val="23"/>
        <w:rPr>
          <w:rFonts w:eastAsia="Times New Roman" w:cs="Times New Roman"/>
          <w:b/>
          <w:bCs/>
          <w:snapToGrid w:val="0"/>
          <w:color w:val="auto"/>
          <w:kern w:val="0"/>
          <w:sz w:val="28"/>
          <w:szCs w:val="30"/>
          <w:highlight w:val="none"/>
          <w:lang w:val="en-GB" w:eastAsia="zh-CN" w:bidi="ar-SA"/>
        </w:rPr>
      </w:pPr>
      <w:bookmarkStart w:id="6" w:name="_Toc516757256"/>
      <w:r>
        <w:rPr>
          <w:rFonts w:eastAsia="Times New Roman" w:cs="Times New Roman"/>
          <w:b/>
          <w:bCs/>
          <w:snapToGrid w:val="0"/>
          <w:color w:val="auto"/>
          <w:kern w:val="0"/>
          <w:sz w:val="28"/>
          <w:szCs w:val="28"/>
          <w:highlight w:val="none"/>
          <w:lang w:val="en-GB" w:eastAsia="zh-CN" w:bidi="ar-SA"/>
        </w:rPr>
        <w:t>ii</w:t>
      </w:r>
      <w:r>
        <w:rPr>
          <w:rFonts w:eastAsia="Times New Roman" w:cs="Times New Roman"/>
          <w:b/>
          <w:bCs/>
          <w:snapToGrid w:val="0"/>
          <w:color w:val="auto"/>
          <w:kern w:val="0"/>
          <w:sz w:val="28"/>
          <w:szCs w:val="30"/>
          <w:highlight w:val="none"/>
          <w:lang w:val="en-GB" w:eastAsia="zh-CN" w:bidi="ar-SA"/>
        </w:rPr>
        <w:t>. Summary of Sources and Uses of Funds by Project Component</w:t>
      </w:r>
      <w:bookmarkEnd w:id="6"/>
    </w:p>
    <w:p>
      <w:pPr>
        <w:pStyle w:val="25"/>
        <w:rPr>
          <w:rFonts w:eastAsia="仿宋_GB2312"/>
          <w:b/>
          <w:snapToGrid w:val="0"/>
          <w:kern w:val="0"/>
          <w:sz w:val="32"/>
          <w:szCs w:val="32"/>
          <w:highlight w:val="none"/>
          <w:lang w:val="en-GB" w:eastAsia="zh-CN" w:bidi="ar-SA"/>
        </w:rPr>
      </w:pPr>
      <w:r>
        <w:rPr>
          <w:rFonts w:eastAsia="仿宋_GB2312"/>
          <w:b/>
          <w:bCs/>
          <w:snapToGrid w:val="0"/>
          <w:kern w:val="0"/>
          <w:sz w:val="32"/>
          <w:szCs w:val="32"/>
          <w:highlight w:val="none"/>
          <w:lang w:val="en-GB" w:eastAsia="zh-CN" w:bidi="ar-SA"/>
        </w:rPr>
        <w:t>项 目 进 度 表（一）</w:t>
      </w:r>
    </w:p>
    <w:p>
      <w:pPr>
        <w:pStyle w:val="27"/>
        <w:rPr>
          <w:b/>
          <w:bCs/>
          <w:snapToGrid w:val="0"/>
          <w:kern w:val="0"/>
          <w:sz w:val="32"/>
          <w:szCs w:val="32"/>
          <w:highlight w:val="none"/>
          <w:lang w:val="en-US" w:eastAsia="zh-CN" w:bidi="ar-SA"/>
        </w:rPr>
      </w:pPr>
      <w:r>
        <w:rPr>
          <w:b/>
          <w:bCs/>
          <w:snapToGrid w:val="0"/>
          <w:kern w:val="0"/>
          <w:sz w:val="32"/>
          <w:szCs w:val="32"/>
          <w:highlight w:val="none"/>
          <w:lang w:val="en-US" w:eastAsia="zh-CN" w:bidi="ar-SA"/>
        </w:rPr>
        <w:t xml:space="preserve">SUMMARY OF SOURCES AND USES OF FUNDS </w:t>
      </w:r>
    </w:p>
    <w:p>
      <w:pPr>
        <w:pStyle w:val="27"/>
        <w:rPr>
          <w:b/>
          <w:bCs/>
          <w:snapToGrid w:val="0"/>
          <w:kern w:val="0"/>
          <w:sz w:val="32"/>
          <w:szCs w:val="32"/>
          <w:highlight w:val="none"/>
          <w:lang w:val="en-US" w:eastAsia="zh-CN" w:bidi="ar-SA"/>
        </w:rPr>
      </w:pPr>
      <w:r>
        <w:rPr>
          <w:b/>
          <w:bCs/>
          <w:snapToGrid w:val="0"/>
          <w:kern w:val="0"/>
          <w:sz w:val="32"/>
          <w:szCs w:val="32"/>
          <w:highlight w:val="none"/>
          <w:lang w:val="en-US" w:eastAsia="zh-CN" w:bidi="ar-SA"/>
        </w:rPr>
        <w:t xml:space="preserve">BY PROJECT COMPONENT </w:t>
      </w:r>
      <w:r>
        <w:rPr>
          <w:rFonts w:ascii="宋体" w:hAnsi="宋体"/>
          <w:b/>
          <w:bCs/>
          <w:snapToGrid w:val="0"/>
          <w:kern w:val="0"/>
          <w:sz w:val="32"/>
          <w:szCs w:val="32"/>
          <w:highlight w:val="none"/>
          <w:lang w:val="en-US" w:eastAsia="zh-CN" w:bidi="ar-SA"/>
        </w:rPr>
        <w:t>Ⅰ</w:t>
      </w:r>
    </w:p>
    <w:p>
      <w:pPr>
        <w:pStyle w:val="28"/>
        <w:rPr>
          <w:rFonts w:eastAsia="仿宋_GB2312"/>
          <w:snapToGrid w:val="0"/>
          <w:kern w:val="0"/>
          <w:sz w:val="21"/>
          <w:szCs w:val="28"/>
          <w:highlight w:val="none"/>
          <w:lang w:val="en-GB" w:eastAsia="zh-CN" w:bidi="ar-SA"/>
        </w:rPr>
      </w:pPr>
      <w:r>
        <w:rPr>
          <w:rFonts w:eastAsia="仿宋_GB2312"/>
          <w:snapToGrid w:val="0"/>
          <w:kern w:val="0"/>
          <w:sz w:val="21"/>
          <w:szCs w:val="28"/>
          <w:highlight w:val="none"/>
          <w:lang w:val="en-GB" w:eastAsia="zh-CN" w:bidi="ar-SA"/>
        </w:rPr>
        <w:t>本期截至</w:t>
      </w:r>
      <w:r>
        <w:rPr>
          <w:rFonts w:hint="eastAsia" w:eastAsia="仿宋_GB2312"/>
          <w:snapToGrid w:val="0"/>
          <w:kern w:val="0"/>
          <w:sz w:val="21"/>
          <w:szCs w:val="28"/>
          <w:highlight w:val="none"/>
          <w:lang w:val="en-GB" w:eastAsia="zh-CN" w:bidi="ar-SA"/>
        </w:rPr>
        <w:t>201</w:t>
      </w:r>
      <w:r>
        <w:rPr>
          <w:rFonts w:hint="eastAsia" w:eastAsia="仿宋_GB2312"/>
          <w:snapToGrid w:val="0"/>
          <w:kern w:val="0"/>
          <w:sz w:val="21"/>
          <w:szCs w:val="28"/>
          <w:highlight w:val="none"/>
          <w:lang w:val="en-US" w:eastAsia="zh-CN" w:bidi="ar-SA"/>
        </w:rPr>
        <w:t>9</w:t>
      </w:r>
      <w:r>
        <w:rPr>
          <w:rFonts w:eastAsia="仿宋_GB2312"/>
          <w:snapToGrid w:val="0"/>
          <w:kern w:val="0"/>
          <w:sz w:val="21"/>
          <w:szCs w:val="28"/>
          <w:highlight w:val="none"/>
          <w:lang w:val="en-GB" w:eastAsia="zh-CN" w:bidi="ar-SA"/>
        </w:rPr>
        <w:t xml:space="preserve">年12月31日 </w:t>
      </w:r>
    </w:p>
    <w:p>
      <w:pPr>
        <w:pStyle w:val="28"/>
        <w:rPr>
          <w:rFonts w:eastAsia="仿宋_GB2312"/>
          <w:snapToGrid w:val="0"/>
          <w:kern w:val="0"/>
          <w:sz w:val="21"/>
          <w:szCs w:val="28"/>
          <w:highlight w:val="none"/>
          <w:lang w:val="en-GB" w:eastAsia="zh-CN" w:bidi="ar-SA"/>
        </w:rPr>
      </w:pPr>
      <w:r>
        <w:rPr>
          <w:rFonts w:eastAsia="仿宋_GB2312"/>
          <w:snapToGrid w:val="0"/>
          <w:kern w:val="0"/>
          <w:sz w:val="21"/>
          <w:szCs w:val="28"/>
          <w:highlight w:val="none"/>
          <w:lang w:val="en-GB" w:eastAsia="zh-CN" w:bidi="ar-SA"/>
        </w:rPr>
        <w:t xml:space="preserve">(For the period ended December 31, </w:t>
      </w:r>
      <w:r>
        <w:rPr>
          <w:rFonts w:hint="eastAsia" w:eastAsia="仿宋_GB2312"/>
          <w:snapToGrid w:val="0"/>
          <w:kern w:val="0"/>
          <w:sz w:val="21"/>
          <w:szCs w:val="28"/>
          <w:highlight w:val="none"/>
          <w:lang w:val="en-GB" w:eastAsia="zh-CN" w:bidi="ar-SA"/>
        </w:rPr>
        <w:t>201</w:t>
      </w:r>
      <w:r>
        <w:rPr>
          <w:rFonts w:hint="eastAsia" w:eastAsia="仿宋_GB2312"/>
          <w:snapToGrid w:val="0"/>
          <w:kern w:val="0"/>
          <w:sz w:val="21"/>
          <w:szCs w:val="28"/>
          <w:highlight w:val="none"/>
          <w:lang w:val="en-US" w:eastAsia="zh-CN" w:bidi="ar-SA"/>
        </w:rPr>
        <w:t>9</w:t>
      </w:r>
      <w:r>
        <w:rPr>
          <w:rFonts w:eastAsia="仿宋_GB2312"/>
          <w:snapToGrid w:val="0"/>
          <w:kern w:val="0"/>
          <w:sz w:val="21"/>
          <w:szCs w:val="28"/>
          <w:highlight w:val="none"/>
          <w:lang w:val="en-GB" w:eastAsia="zh-CN" w:bidi="ar-SA"/>
        </w:rPr>
        <w:t>）</w:t>
      </w:r>
    </w:p>
    <w:p>
      <w:pPr>
        <w:pStyle w:val="28"/>
        <w:rPr>
          <w:rFonts w:eastAsia="仿宋_GB2312"/>
          <w:snapToGrid w:val="0"/>
          <w:kern w:val="0"/>
          <w:sz w:val="21"/>
          <w:szCs w:val="28"/>
          <w:highlight w:val="none"/>
          <w:lang w:val="en-GB" w:eastAsia="zh-CN" w:bidi="ar-SA"/>
        </w:rPr>
      </w:pPr>
    </w:p>
    <w:p>
      <w:pPr>
        <w:pStyle w:val="24"/>
        <w:snapToGrid w:val="0"/>
        <w:spacing w:line="120" w:lineRule="atLeast"/>
        <w:ind w:leftChars="-207" w:right="-1784" w:hanging="434" w:hangingChars="207"/>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项目名称：世界银行贷款</w:t>
      </w:r>
      <w:r>
        <w:rPr>
          <w:rFonts w:hint="eastAsia" w:eastAsia="仿宋_GB2312"/>
          <w:snapToGrid w:val="0"/>
          <w:kern w:val="0"/>
          <w:sz w:val="21"/>
          <w:highlight w:val="none"/>
          <w:lang w:val="en-US" w:eastAsia="zh-CN" w:bidi="ar-SA"/>
        </w:rPr>
        <w:t>芦山</w:t>
      </w:r>
      <w:r>
        <w:rPr>
          <w:rFonts w:eastAsia="仿宋_GB2312"/>
          <w:snapToGrid w:val="0"/>
          <w:kern w:val="0"/>
          <w:sz w:val="21"/>
          <w:highlight w:val="none"/>
          <w:lang w:val="en-US" w:eastAsia="zh-CN" w:bidi="ar-SA"/>
        </w:rPr>
        <w:t>地震</w:t>
      </w:r>
      <w:r>
        <w:rPr>
          <w:rFonts w:hint="eastAsia" w:eastAsia="仿宋_GB2312"/>
          <w:snapToGrid w:val="0"/>
          <w:kern w:val="0"/>
          <w:sz w:val="21"/>
          <w:highlight w:val="none"/>
          <w:lang w:val="en-US" w:eastAsia="zh-CN" w:bidi="ar-SA"/>
        </w:rPr>
        <w:t>灾后恢复重建项目</w:t>
      </w:r>
      <w:r>
        <w:rPr>
          <w:rFonts w:eastAsia="仿宋_GB2312"/>
          <w:snapToGrid w:val="0"/>
          <w:kern w:val="0"/>
          <w:sz w:val="21"/>
          <w:highlight w:val="none"/>
          <w:lang w:val="en-US" w:eastAsia="zh-CN" w:bidi="ar-SA"/>
        </w:rPr>
        <w:t>-城建子项目</w:t>
      </w:r>
    </w:p>
    <w:p>
      <w:pPr>
        <w:pStyle w:val="24"/>
        <w:snapToGrid w:val="0"/>
        <w:spacing w:line="120" w:lineRule="atLeast"/>
        <w:ind w:leftChars="-207" w:right="-1784" w:hanging="434" w:hangingChars="207"/>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 xml:space="preserve">Project Name: Lushan Earthquake Recovery and Reconstruction Project Financed by World Bank - Urban </w:t>
      </w:r>
    </w:p>
    <w:p>
      <w:pPr>
        <w:pStyle w:val="24"/>
        <w:snapToGrid w:val="0"/>
        <w:spacing w:line="120" w:lineRule="atLeast"/>
        <w:ind w:leftChars="-207" w:right="-1784" w:hanging="434" w:hangingChars="207"/>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Construction Subproject</w:t>
      </w:r>
    </w:p>
    <w:p>
      <w:pPr>
        <w:pStyle w:val="24"/>
        <w:snapToGrid w:val="0"/>
        <w:spacing w:line="120" w:lineRule="atLeast"/>
        <w:ind w:left="-420" w:leftChars="-207" w:right="-1784" w:hanging="14" w:hangingChars="7"/>
        <w:jc w:val="left"/>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编报单位：四川省人民政府水资源规划城建环保项目领导小组办公室          货币单</w:t>
      </w:r>
      <w:r>
        <w:rPr>
          <w:rFonts w:eastAsia="仿宋_GB2312"/>
          <w:snapToGrid w:val="0"/>
          <w:kern w:val="0"/>
          <w:sz w:val="21"/>
          <w:szCs w:val="21"/>
          <w:highlight w:val="none"/>
          <w:lang w:val="en-US" w:eastAsia="zh-CN" w:bidi="ar-SA"/>
        </w:rPr>
        <w:t>位：人民币元</w:t>
      </w:r>
    </w:p>
    <w:p>
      <w:pPr>
        <w:pStyle w:val="24"/>
        <w:snapToGrid w:val="0"/>
        <w:spacing w:line="120" w:lineRule="atLeast"/>
        <w:ind w:leftChars="-207" w:right="-1784" w:hanging="434" w:hangingChars="207"/>
        <w:rPr>
          <w:rFonts w:eastAsia="仿宋_GB2312"/>
          <w:snapToGrid w:val="0"/>
          <w:kern w:val="0"/>
          <w:sz w:val="18"/>
          <w:highlight w:val="none"/>
          <w:lang w:val="en-US" w:eastAsia="zh-CN" w:bidi="ar-SA"/>
        </w:rPr>
      </w:pPr>
      <w:r>
        <w:rPr>
          <w:snapToGrid w:val="0"/>
          <w:kern w:val="0"/>
          <w:sz w:val="21"/>
          <w:highlight w:val="none"/>
          <w:lang w:val="en-US" w:eastAsia="zh-CN" w:bidi="ar-SA"/>
        </w:rPr>
        <w:t xml:space="preserve">Prepared by: Sichuan Urban Environment Project Office          </w:t>
      </w:r>
      <w:r>
        <w:rPr>
          <w:snapToGrid w:val="0"/>
          <w:kern w:val="0"/>
          <w:sz w:val="18"/>
          <w:highlight w:val="none"/>
          <w:lang w:val="en-US" w:eastAsia="zh-CN" w:bidi="ar-SA"/>
        </w:rPr>
        <w:t xml:space="preserve">               </w:t>
      </w:r>
      <w:r>
        <w:rPr>
          <w:snapToGrid w:val="0"/>
          <w:kern w:val="0"/>
          <w:sz w:val="21"/>
          <w:szCs w:val="21"/>
          <w:highlight w:val="none"/>
          <w:lang w:val="en-US" w:eastAsia="zh-CN" w:bidi="ar-SA"/>
        </w:rPr>
        <w:t>Currency Unit: RMB Yuan</w:t>
      </w:r>
    </w:p>
    <w:tbl>
      <w:tblPr>
        <w:tblStyle w:val="6"/>
        <w:tblW w:w="980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1322"/>
        <w:gridCol w:w="1400"/>
        <w:gridCol w:w="971"/>
        <w:gridCol w:w="1586"/>
        <w:gridCol w:w="1329"/>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blHeader/>
        </w:trPr>
        <w:tc>
          <w:tcPr>
            <w:tcW w:w="2227" w:type="dxa"/>
            <w:vMerge w:val="restart"/>
            <w:vAlign w:val="center"/>
          </w:tcPr>
          <w:p>
            <w:pPr>
              <w:pStyle w:val="24"/>
              <w:widowControl/>
              <w:spacing w:line="200" w:lineRule="exact"/>
              <w:jc w:val="center"/>
              <w:rPr>
                <w:snapToGrid w:val="0"/>
                <w:kern w:val="0"/>
                <w:sz w:val="15"/>
                <w:szCs w:val="15"/>
                <w:highlight w:val="none"/>
                <w:lang w:val="en-US" w:eastAsia="zh-CN" w:bidi="ar-SA"/>
              </w:rPr>
            </w:pPr>
          </w:p>
        </w:tc>
        <w:tc>
          <w:tcPr>
            <w:tcW w:w="3693" w:type="dxa"/>
            <w:gridSpan w:val="3"/>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本期</w:t>
            </w:r>
          </w:p>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Current Period</w:t>
            </w:r>
          </w:p>
        </w:tc>
        <w:tc>
          <w:tcPr>
            <w:tcW w:w="3886" w:type="dxa"/>
            <w:gridSpan w:val="3"/>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累计</w:t>
            </w:r>
          </w:p>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Cumulative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9" w:hRule="atLeast"/>
          <w:tblHeader/>
        </w:trPr>
        <w:tc>
          <w:tcPr>
            <w:tcW w:w="2227" w:type="dxa"/>
            <w:vMerge w:val="continue"/>
            <w:vAlign w:val="center"/>
          </w:tcPr>
          <w:p>
            <w:pPr>
              <w:pStyle w:val="24"/>
              <w:widowControl/>
              <w:spacing w:line="200" w:lineRule="exact"/>
              <w:jc w:val="left"/>
              <w:rPr>
                <w:snapToGrid w:val="0"/>
                <w:kern w:val="0"/>
                <w:sz w:val="15"/>
                <w:szCs w:val="15"/>
                <w:highlight w:val="none"/>
                <w:lang w:val="en-US" w:eastAsia="zh-CN" w:bidi="ar-SA"/>
              </w:rPr>
            </w:pPr>
          </w:p>
        </w:tc>
        <w:tc>
          <w:tcPr>
            <w:tcW w:w="1322" w:type="dxa"/>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本期计划额</w:t>
            </w:r>
          </w:p>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Current Period Budget</w:t>
            </w:r>
          </w:p>
        </w:tc>
        <w:tc>
          <w:tcPr>
            <w:tcW w:w="1400" w:type="dxa"/>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本期发生额</w:t>
            </w:r>
          </w:p>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Current Period Actual</w:t>
            </w:r>
          </w:p>
        </w:tc>
        <w:tc>
          <w:tcPr>
            <w:tcW w:w="971" w:type="dxa"/>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本期完成比</w:t>
            </w:r>
          </w:p>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Current Period % Completed</w:t>
            </w:r>
          </w:p>
        </w:tc>
        <w:tc>
          <w:tcPr>
            <w:tcW w:w="1586" w:type="dxa"/>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项目总计划额</w:t>
            </w:r>
          </w:p>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Life of PAD</w:t>
            </w:r>
          </w:p>
        </w:tc>
        <w:tc>
          <w:tcPr>
            <w:tcW w:w="1329" w:type="dxa"/>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累计完成额</w:t>
            </w:r>
          </w:p>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Cumulative Actual</w:t>
            </w:r>
          </w:p>
        </w:tc>
        <w:tc>
          <w:tcPr>
            <w:tcW w:w="971" w:type="dxa"/>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累计完成比</w:t>
            </w:r>
          </w:p>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Cumulative %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24"/>
              <w:widowControl/>
              <w:spacing w:line="200" w:lineRule="exact"/>
              <w:jc w:val="left"/>
              <w:rPr>
                <w:snapToGrid w:val="0"/>
                <w:kern w:val="0"/>
                <w:sz w:val="15"/>
                <w:szCs w:val="15"/>
                <w:highlight w:val="none"/>
                <w:lang w:val="en-US" w:eastAsia="zh-CN" w:bidi="ar-SA"/>
              </w:rPr>
            </w:pPr>
            <w:r>
              <w:rPr>
                <w:snapToGrid w:val="0"/>
                <w:kern w:val="0"/>
                <w:sz w:val="15"/>
                <w:szCs w:val="15"/>
                <w:highlight w:val="none"/>
                <w:lang w:val="en-US" w:eastAsia="zh-CN" w:bidi="ar-SA"/>
              </w:rPr>
              <w:t>资金来源合计</w:t>
            </w:r>
          </w:p>
          <w:p>
            <w:pPr>
              <w:pStyle w:val="24"/>
              <w:widowControl/>
              <w:spacing w:line="200" w:lineRule="exact"/>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Total Sources of Funds                                                                                                  </w:t>
            </w:r>
          </w:p>
        </w:tc>
        <w:tc>
          <w:tcPr>
            <w:tcW w:w="1322"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581,559,931.40</w:t>
            </w: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410,206,696.17</w:t>
            </w:r>
          </w:p>
        </w:tc>
        <w:tc>
          <w:tcPr>
            <w:tcW w:w="971" w:type="dxa"/>
            <w:vAlign w:val="center"/>
          </w:tcPr>
          <w:p>
            <w:pPr>
              <w:pStyle w:val="24"/>
              <w:keepNext w:val="0"/>
              <w:keepLines w:val="0"/>
              <w:widowControl/>
              <w:suppressLineNumbers w:val="0"/>
              <w:jc w:val="right"/>
              <w:textAlignment w:val="center"/>
              <w:rPr>
                <w:rFonts w:hint="default" w:ascii="Times New Roman" w:hAnsi="Times New Roman" w:eastAsia="宋体"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70.54%</w:t>
            </w:r>
          </w:p>
        </w:tc>
        <w:tc>
          <w:tcPr>
            <w:tcW w:w="1586"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2,186,963,400.00</w:t>
            </w: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572,583,559.00</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24"/>
              <w:widowControl/>
              <w:tabs>
                <w:tab w:val="left" w:pos="360"/>
              </w:tabs>
              <w:spacing w:line="200" w:lineRule="exact"/>
              <w:ind w:left="360" w:hanging="360"/>
              <w:jc w:val="left"/>
              <w:rPr>
                <w:snapToGrid w:val="0"/>
                <w:kern w:val="0"/>
                <w:sz w:val="15"/>
                <w:szCs w:val="15"/>
                <w:highlight w:val="none"/>
                <w:lang w:val="en-US" w:eastAsia="zh-CN" w:bidi="ar-SA"/>
              </w:rPr>
            </w:pPr>
            <w:r>
              <w:rPr>
                <w:snapToGrid w:val="0"/>
                <w:kern w:val="0"/>
                <w:sz w:val="15"/>
                <w:szCs w:val="15"/>
                <w:highlight w:val="none"/>
                <w:lang w:val="en-US" w:eastAsia="zh-CN" w:bidi="ar-SA"/>
              </w:rPr>
              <w:t>一、</w:t>
            </w:r>
            <w:r>
              <w:rPr>
                <w:snapToGrid w:val="0"/>
                <w:kern w:val="0"/>
                <w:sz w:val="15"/>
                <w:szCs w:val="15"/>
                <w:highlight w:val="none"/>
                <w:lang w:val="en-US" w:eastAsia="zh-CN" w:bidi="ar-SA"/>
              </w:rPr>
              <w:tab/>
            </w:r>
            <w:r>
              <w:rPr>
                <w:snapToGrid w:val="0"/>
                <w:kern w:val="0"/>
                <w:sz w:val="15"/>
                <w:szCs w:val="15"/>
                <w:highlight w:val="none"/>
                <w:lang w:val="en-US" w:eastAsia="zh-CN" w:bidi="ar-SA"/>
              </w:rPr>
              <w:t xml:space="preserve">国际金融组织贷款  </w:t>
            </w:r>
          </w:p>
          <w:p>
            <w:pPr>
              <w:pStyle w:val="24"/>
              <w:widowControl/>
              <w:spacing w:line="200" w:lineRule="exact"/>
              <w:ind w:left="361" w:leftChars="172"/>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International Financing                                                                                                               </w:t>
            </w:r>
          </w:p>
        </w:tc>
        <w:tc>
          <w:tcPr>
            <w:tcW w:w="1322"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519,449,931.40</w:t>
            </w: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399,935,118.77</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76.99%</w:t>
            </w:r>
          </w:p>
        </w:tc>
        <w:tc>
          <w:tcPr>
            <w:tcW w:w="1586"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1,755,000,000.00</w:t>
            </w: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448,081,051.85</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24"/>
              <w:widowControl/>
              <w:spacing w:line="20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1. 国际复兴开发银行IBRD                                                                                                                         </w:t>
            </w:r>
          </w:p>
        </w:tc>
        <w:tc>
          <w:tcPr>
            <w:tcW w:w="1322"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519,449,931.40</w:t>
            </w: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399,935,118.77</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76.99%</w:t>
            </w:r>
          </w:p>
        </w:tc>
        <w:tc>
          <w:tcPr>
            <w:tcW w:w="1586"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1,755,000,000.00</w:t>
            </w: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448,081,051.85</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24"/>
              <w:widowControl/>
              <w:spacing w:line="20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二、配套资金</w:t>
            </w:r>
          </w:p>
          <w:p>
            <w:pPr>
              <w:pStyle w:val="24"/>
              <w:widowControl/>
              <w:spacing w:line="200" w:lineRule="exact"/>
              <w:ind w:left="300" w:hanging="300" w:hangingChars="2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Counterpart Financing                                                                                                                       </w:t>
            </w:r>
          </w:p>
        </w:tc>
        <w:tc>
          <w:tcPr>
            <w:tcW w:w="1322"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62,110,000.00</w:t>
            </w: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10,271,577.40</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16.54%</w:t>
            </w:r>
          </w:p>
        </w:tc>
        <w:tc>
          <w:tcPr>
            <w:tcW w:w="1586"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431,963,400.00</w:t>
            </w: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124,502,507.15</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2227" w:type="dxa"/>
            <w:vAlign w:val="center"/>
          </w:tcPr>
          <w:p>
            <w:pPr>
              <w:pStyle w:val="24"/>
              <w:widowControl/>
              <w:spacing w:line="200" w:lineRule="exact"/>
              <w:jc w:val="left"/>
              <w:rPr>
                <w:snapToGrid w:val="0"/>
                <w:kern w:val="0"/>
                <w:sz w:val="15"/>
                <w:szCs w:val="15"/>
                <w:highlight w:val="none"/>
                <w:lang w:val="en-US" w:eastAsia="zh-CN" w:bidi="ar-SA"/>
              </w:rPr>
            </w:pPr>
            <w:r>
              <w:rPr>
                <w:snapToGrid w:val="0"/>
                <w:kern w:val="0"/>
                <w:sz w:val="15"/>
                <w:szCs w:val="15"/>
                <w:highlight w:val="none"/>
                <w:lang w:val="en-US" w:eastAsia="zh-CN" w:bidi="ar-SA"/>
              </w:rPr>
              <w:t>1、有偿配套 Domestic loan</w:t>
            </w:r>
          </w:p>
        </w:tc>
        <w:tc>
          <w:tcPr>
            <w:tcW w:w="1322"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971" w:type="dxa"/>
            <w:vAlign w:val="center"/>
          </w:tcPr>
          <w:p>
            <w:pPr>
              <w:pStyle w:val="24"/>
              <w:jc w:val="right"/>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1586"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971" w:type="dxa"/>
            <w:vAlign w:val="center"/>
          </w:tcPr>
          <w:p>
            <w:pPr>
              <w:pStyle w:val="24"/>
              <w:jc w:val="right"/>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227" w:type="dxa"/>
            <w:vAlign w:val="center"/>
          </w:tcPr>
          <w:p>
            <w:pPr>
              <w:pStyle w:val="24"/>
              <w:widowControl/>
              <w:spacing w:line="200" w:lineRule="exact"/>
              <w:jc w:val="left"/>
              <w:rPr>
                <w:snapToGrid w:val="0"/>
                <w:kern w:val="0"/>
                <w:sz w:val="15"/>
                <w:szCs w:val="15"/>
                <w:highlight w:val="none"/>
                <w:lang w:val="en-US" w:eastAsia="zh-CN" w:bidi="ar-SA"/>
              </w:rPr>
            </w:pPr>
            <w:r>
              <w:rPr>
                <w:snapToGrid w:val="0"/>
                <w:kern w:val="0"/>
                <w:sz w:val="15"/>
                <w:szCs w:val="15"/>
                <w:highlight w:val="none"/>
                <w:lang w:val="en-US" w:eastAsia="zh-CN" w:bidi="ar-SA"/>
              </w:rPr>
              <w:t>2、无偿配套 Appropriation Funds</w:t>
            </w:r>
          </w:p>
        </w:tc>
        <w:tc>
          <w:tcPr>
            <w:tcW w:w="1322"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62,110,000.00</w:t>
            </w: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10,271,577.40</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16.54%</w:t>
            </w:r>
          </w:p>
        </w:tc>
        <w:tc>
          <w:tcPr>
            <w:tcW w:w="1586"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431,963,400.00</w:t>
            </w: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124,502,507.15</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227" w:type="dxa"/>
            <w:vAlign w:val="center"/>
          </w:tcPr>
          <w:p>
            <w:pPr>
              <w:pStyle w:val="24"/>
              <w:widowControl/>
              <w:spacing w:line="200" w:lineRule="exact"/>
              <w:jc w:val="left"/>
              <w:rPr>
                <w:snapToGrid w:val="0"/>
                <w:kern w:val="0"/>
                <w:sz w:val="15"/>
                <w:szCs w:val="15"/>
                <w:highlight w:val="none"/>
                <w:lang w:val="en-US" w:eastAsia="zh-CN" w:bidi="ar-SA"/>
              </w:rPr>
            </w:pPr>
            <w:r>
              <w:rPr>
                <w:snapToGrid w:val="0"/>
                <w:kern w:val="0"/>
                <w:sz w:val="15"/>
                <w:szCs w:val="15"/>
                <w:highlight w:val="none"/>
                <w:lang w:val="en-US" w:eastAsia="zh-CN" w:bidi="ar-SA"/>
              </w:rPr>
              <w:t>3、项目资本金 Project Capital</w:t>
            </w:r>
          </w:p>
        </w:tc>
        <w:tc>
          <w:tcPr>
            <w:tcW w:w="1322"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971" w:type="dxa"/>
            <w:vAlign w:val="center"/>
          </w:tcPr>
          <w:p>
            <w:pPr>
              <w:pStyle w:val="24"/>
              <w:jc w:val="right"/>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1586"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971" w:type="dxa"/>
            <w:vAlign w:val="center"/>
          </w:tcPr>
          <w:p>
            <w:pPr>
              <w:pStyle w:val="24"/>
              <w:jc w:val="right"/>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227" w:type="dxa"/>
            <w:vAlign w:val="center"/>
          </w:tcPr>
          <w:p>
            <w:pPr>
              <w:pStyle w:val="24"/>
              <w:widowControl/>
              <w:spacing w:line="200" w:lineRule="exact"/>
              <w:jc w:val="left"/>
              <w:rPr>
                <w:snapToGrid w:val="0"/>
                <w:kern w:val="0"/>
                <w:sz w:val="15"/>
                <w:szCs w:val="15"/>
                <w:highlight w:val="none"/>
                <w:lang w:val="en-US" w:eastAsia="zh-CN" w:bidi="ar-SA"/>
              </w:rPr>
            </w:pPr>
            <w:r>
              <w:rPr>
                <w:snapToGrid w:val="0"/>
                <w:kern w:val="0"/>
                <w:sz w:val="15"/>
                <w:szCs w:val="15"/>
                <w:highlight w:val="none"/>
                <w:lang w:val="en-US" w:eastAsia="zh-CN" w:bidi="ar-SA"/>
              </w:rPr>
              <w:t>资金运用合计（按项目内容）</w:t>
            </w:r>
          </w:p>
          <w:p>
            <w:pPr>
              <w:pStyle w:val="24"/>
              <w:widowControl/>
              <w:spacing w:line="200" w:lineRule="exact"/>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Total Application of Funds  (by Project Component)                                                                                                                             </w:t>
            </w:r>
          </w:p>
        </w:tc>
        <w:tc>
          <w:tcPr>
            <w:tcW w:w="1322"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581,559,931.40</w:t>
            </w: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414,098,338.83</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71.20%</w:t>
            </w:r>
          </w:p>
        </w:tc>
        <w:tc>
          <w:tcPr>
            <w:tcW w:w="1586"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2,186,963,400.00</w:t>
            </w: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538,355,866.05</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2227" w:type="dxa"/>
            <w:vAlign w:val="center"/>
          </w:tcPr>
          <w:p>
            <w:pPr>
              <w:pStyle w:val="24"/>
              <w:widowControl/>
              <w:spacing w:line="200" w:lineRule="exact"/>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1、农村道路建设 </w:t>
            </w:r>
            <w:r>
              <w:rPr>
                <w:snapToGrid w:val="0"/>
                <w:kern w:val="0"/>
                <w:sz w:val="15"/>
                <w:szCs w:val="15"/>
                <w:highlight w:val="none"/>
                <w:lang w:val="en-US" w:eastAsia="zh-CN" w:bidi="ar-SA"/>
              </w:rPr>
              <w:br w:type="textWrapping"/>
            </w:r>
            <w:r>
              <w:rPr>
                <w:snapToGrid w:val="0"/>
                <w:kern w:val="0"/>
                <w:sz w:val="15"/>
                <w:szCs w:val="15"/>
                <w:highlight w:val="none"/>
                <w:lang w:val="en-US" w:eastAsia="zh-CN" w:bidi="ar-SA"/>
              </w:rPr>
              <w:t xml:space="preserve"> Upgrading and Risk Reduction of Rural Roads</w:t>
            </w:r>
          </w:p>
        </w:tc>
        <w:tc>
          <w:tcPr>
            <w:tcW w:w="1322"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971" w:type="dxa"/>
            <w:vAlign w:val="center"/>
          </w:tcPr>
          <w:p>
            <w:pPr>
              <w:pStyle w:val="24"/>
              <w:jc w:val="right"/>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1586"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971" w:type="dxa"/>
            <w:vAlign w:val="center"/>
          </w:tcPr>
          <w:p>
            <w:pPr>
              <w:pStyle w:val="24"/>
              <w:jc w:val="right"/>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227" w:type="dxa"/>
            <w:vAlign w:val="center"/>
          </w:tcPr>
          <w:p>
            <w:pPr>
              <w:pStyle w:val="24"/>
              <w:widowControl/>
              <w:spacing w:line="200" w:lineRule="exact"/>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2、提升城镇基础设施和应急准备能力</w:t>
            </w:r>
            <w:r>
              <w:rPr>
                <w:snapToGrid w:val="0"/>
                <w:kern w:val="0"/>
                <w:sz w:val="15"/>
                <w:szCs w:val="15"/>
                <w:highlight w:val="none"/>
                <w:lang w:val="en-US" w:eastAsia="zh-CN" w:bidi="ar-SA"/>
              </w:rPr>
              <w:br w:type="textWrapping"/>
            </w:r>
            <w:r>
              <w:rPr>
                <w:snapToGrid w:val="0"/>
                <w:kern w:val="0"/>
                <w:sz w:val="15"/>
                <w:szCs w:val="15"/>
                <w:highlight w:val="none"/>
                <w:lang w:val="en-US" w:eastAsia="zh-CN" w:bidi="ar-SA"/>
              </w:rPr>
              <w:t>Upgrading of Priority Urban Infrastructure and Strengthening Emergency Preparedness</w:t>
            </w:r>
          </w:p>
        </w:tc>
        <w:tc>
          <w:tcPr>
            <w:tcW w:w="1322"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541,513,951.40</w:t>
            </w: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387,524,208.09</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71.56%</w:t>
            </w:r>
          </w:p>
        </w:tc>
        <w:tc>
          <w:tcPr>
            <w:tcW w:w="1586"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2,058,463,400.00</w:t>
            </w: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487,771,754.12</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27" w:type="dxa"/>
            <w:vAlign w:val="center"/>
          </w:tcPr>
          <w:p>
            <w:pPr>
              <w:pStyle w:val="24"/>
              <w:widowControl/>
              <w:spacing w:line="200" w:lineRule="exact"/>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3、加强石棉县灾害管理和准备能力的技术援助 </w:t>
            </w:r>
            <w:r>
              <w:rPr>
                <w:snapToGrid w:val="0"/>
                <w:kern w:val="0"/>
                <w:sz w:val="15"/>
                <w:szCs w:val="15"/>
                <w:highlight w:val="none"/>
                <w:lang w:val="en-US" w:eastAsia="zh-CN" w:bidi="ar-SA"/>
              </w:rPr>
              <w:br w:type="textWrapping"/>
            </w:r>
            <w:r>
              <w:rPr>
                <w:snapToGrid w:val="0"/>
                <w:kern w:val="0"/>
                <w:sz w:val="15"/>
                <w:szCs w:val="15"/>
                <w:highlight w:val="none"/>
                <w:lang w:val="en-US" w:eastAsia="zh-CN" w:bidi="ar-SA"/>
              </w:rPr>
              <w:t xml:space="preserve"> TA for Strengthening of Disaster Management and Preparedness in Shimian County</w:t>
            </w:r>
          </w:p>
        </w:tc>
        <w:tc>
          <w:tcPr>
            <w:tcW w:w="1322"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3,400,000.00</w:t>
            </w: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10,826.92</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0.32%</w:t>
            </w:r>
          </w:p>
        </w:tc>
        <w:tc>
          <w:tcPr>
            <w:tcW w:w="1586"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39,000,000.00</w:t>
            </w: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190,174.92</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227" w:type="dxa"/>
            <w:vAlign w:val="center"/>
          </w:tcPr>
          <w:p>
            <w:pPr>
              <w:pStyle w:val="24"/>
              <w:widowControl/>
              <w:spacing w:line="200" w:lineRule="exact"/>
              <w:jc w:val="left"/>
              <w:rPr>
                <w:snapToGrid w:val="0"/>
                <w:kern w:val="0"/>
                <w:sz w:val="15"/>
                <w:szCs w:val="15"/>
                <w:highlight w:val="none"/>
                <w:lang w:val="en-US" w:eastAsia="zh-CN" w:bidi="ar-SA"/>
              </w:rPr>
            </w:pPr>
            <w:r>
              <w:rPr>
                <w:snapToGrid w:val="0"/>
                <w:kern w:val="0"/>
                <w:sz w:val="15"/>
                <w:szCs w:val="15"/>
                <w:highlight w:val="none"/>
                <w:lang w:val="en-US" w:eastAsia="zh-CN" w:bidi="ar-SA"/>
              </w:rPr>
              <w:t>4、项目管理和能力建设</w:t>
            </w:r>
          </w:p>
          <w:p>
            <w:pPr>
              <w:pStyle w:val="24"/>
              <w:widowControl/>
              <w:spacing w:line="200" w:lineRule="exact"/>
              <w:jc w:val="left"/>
              <w:rPr>
                <w:snapToGrid w:val="0"/>
                <w:kern w:val="0"/>
                <w:sz w:val="15"/>
                <w:szCs w:val="15"/>
                <w:highlight w:val="none"/>
                <w:lang w:val="en-US" w:eastAsia="zh-CN" w:bidi="ar-SA"/>
              </w:rPr>
            </w:pPr>
            <w:r>
              <w:rPr>
                <w:snapToGrid w:val="0"/>
                <w:kern w:val="0"/>
                <w:sz w:val="15"/>
                <w:szCs w:val="15"/>
                <w:highlight w:val="none"/>
                <w:lang w:val="en-US" w:eastAsia="zh-CN" w:bidi="ar-SA"/>
              </w:rPr>
              <w:t>Project Management and Capacity Building</w:t>
            </w:r>
          </w:p>
        </w:tc>
        <w:tc>
          <w:tcPr>
            <w:tcW w:w="1322"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36,645,980.00</w:t>
            </w: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26,563,303.82</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72.49%</w:t>
            </w:r>
          </w:p>
        </w:tc>
        <w:tc>
          <w:tcPr>
            <w:tcW w:w="1586"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89,500,000.00</w:t>
            </w: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50,393,937.01</w:t>
            </w:r>
          </w:p>
        </w:tc>
        <w:tc>
          <w:tcPr>
            <w:tcW w:w="971"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2227" w:type="dxa"/>
            <w:vAlign w:val="center"/>
          </w:tcPr>
          <w:p>
            <w:pPr>
              <w:pStyle w:val="24"/>
              <w:widowControl/>
              <w:spacing w:line="200" w:lineRule="exact"/>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差异  Difference                                                                                                                                 </w:t>
            </w:r>
          </w:p>
        </w:tc>
        <w:tc>
          <w:tcPr>
            <w:tcW w:w="1322" w:type="dxa"/>
            <w:vAlign w:val="center"/>
          </w:tcPr>
          <w:p>
            <w:pPr>
              <w:pStyle w:val="24"/>
              <w:rPr>
                <w:rFonts w:hint="default" w:ascii="Times New Roman" w:hAnsi="Times New Roman" w:cs="Times New Roman"/>
                <w:color w:val="auto"/>
                <w:kern w:val="2"/>
                <w:sz w:val="15"/>
                <w:szCs w:val="15"/>
                <w:highlight w:val="none"/>
                <w:lang w:val="en-US" w:eastAsia="zh-CN" w:bidi="ar-SA"/>
              </w:rPr>
            </w:pP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-3,891,642.66</w:t>
            </w:r>
          </w:p>
        </w:tc>
        <w:tc>
          <w:tcPr>
            <w:tcW w:w="971" w:type="dxa"/>
            <w:vAlign w:val="center"/>
          </w:tcPr>
          <w:p>
            <w:pPr>
              <w:pStyle w:val="24"/>
              <w:jc w:val="center"/>
              <w:rPr>
                <w:rFonts w:hint="default" w:ascii="Times New Roman" w:hAnsi="Times New Roman" w:cs="Times New Roman"/>
                <w:color w:val="auto"/>
                <w:kern w:val="2"/>
                <w:sz w:val="15"/>
                <w:szCs w:val="15"/>
                <w:highlight w:val="none"/>
                <w:lang w:val="en-US" w:eastAsia="zh-CN" w:bidi="ar-SA"/>
              </w:rPr>
            </w:pPr>
          </w:p>
        </w:tc>
        <w:tc>
          <w:tcPr>
            <w:tcW w:w="1586" w:type="dxa"/>
            <w:vAlign w:val="center"/>
          </w:tcPr>
          <w:p>
            <w:pPr>
              <w:pStyle w:val="24"/>
              <w:rPr>
                <w:rFonts w:hint="default" w:ascii="Times New Roman" w:hAnsi="Times New Roman" w:cs="Times New Roman"/>
                <w:color w:val="auto"/>
                <w:kern w:val="2"/>
                <w:sz w:val="15"/>
                <w:szCs w:val="15"/>
                <w:highlight w:val="none"/>
                <w:lang w:val="en-US" w:eastAsia="zh-CN" w:bidi="ar-SA"/>
              </w:rPr>
            </w:pP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34,227,692.95</w:t>
            </w:r>
          </w:p>
        </w:tc>
        <w:tc>
          <w:tcPr>
            <w:tcW w:w="971" w:type="dxa"/>
            <w:vAlign w:val="center"/>
          </w:tcPr>
          <w:p>
            <w:pPr>
              <w:pStyle w:val="24"/>
              <w:rPr>
                <w:rFonts w:hint="default" w:ascii="Times New Roman" w:hAnsi="Times New Roman" w:cs="Times New Roman"/>
                <w:color w:val="auto"/>
                <w:kern w:val="2"/>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24"/>
              <w:widowControl/>
              <w:spacing w:line="200" w:lineRule="exact"/>
              <w:ind w:left="150" w:hanging="150" w:hangingChars="100"/>
              <w:jc w:val="left"/>
              <w:rPr>
                <w:snapToGrid w:val="0"/>
                <w:kern w:val="0"/>
                <w:sz w:val="15"/>
                <w:szCs w:val="15"/>
                <w:highlight w:val="none"/>
                <w:lang w:val="en-US" w:eastAsia="zh-CN" w:bidi="ar-SA"/>
              </w:rPr>
            </w:pPr>
            <w:r>
              <w:rPr>
                <w:snapToGrid w:val="0"/>
                <w:kern w:val="0"/>
                <w:sz w:val="15"/>
                <w:szCs w:val="15"/>
                <w:highlight w:val="none"/>
                <w:lang w:val="en-US" w:eastAsia="zh-CN" w:bidi="ar-SA"/>
              </w:rPr>
              <w:t>1. 应收款变化</w:t>
            </w:r>
          </w:p>
          <w:p>
            <w:pPr>
              <w:pStyle w:val="24"/>
              <w:widowControl/>
              <w:spacing w:line="200" w:lineRule="exact"/>
              <w:ind w:left="150" w:hanging="150" w:hangingChars="1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Change in Receivables                                                                                                                            </w:t>
            </w:r>
          </w:p>
        </w:tc>
        <w:tc>
          <w:tcPr>
            <w:tcW w:w="1322" w:type="dxa"/>
            <w:vAlign w:val="center"/>
          </w:tcPr>
          <w:p>
            <w:pPr>
              <w:pStyle w:val="24"/>
              <w:rPr>
                <w:rFonts w:hint="default" w:ascii="Times New Roman" w:hAnsi="Times New Roman" w:cs="Times New Roman"/>
                <w:color w:val="auto"/>
                <w:kern w:val="2"/>
                <w:sz w:val="15"/>
                <w:szCs w:val="15"/>
                <w:highlight w:val="none"/>
                <w:lang w:val="en-US" w:eastAsia="zh-CN" w:bidi="ar-SA"/>
              </w:rPr>
            </w:pP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62,571,723.27</w:t>
            </w:r>
          </w:p>
        </w:tc>
        <w:tc>
          <w:tcPr>
            <w:tcW w:w="971" w:type="dxa"/>
            <w:vAlign w:val="center"/>
          </w:tcPr>
          <w:p>
            <w:pPr>
              <w:pStyle w:val="24"/>
              <w:jc w:val="center"/>
              <w:rPr>
                <w:rFonts w:hint="default" w:ascii="Times New Roman" w:hAnsi="Times New Roman" w:cs="Times New Roman"/>
                <w:color w:val="auto"/>
                <w:kern w:val="2"/>
                <w:sz w:val="15"/>
                <w:szCs w:val="15"/>
                <w:highlight w:val="none"/>
                <w:lang w:val="en-US" w:eastAsia="zh-CN" w:bidi="ar-SA"/>
              </w:rPr>
            </w:pPr>
          </w:p>
        </w:tc>
        <w:tc>
          <w:tcPr>
            <w:tcW w:w="1586" w:type="dxa"/>
            <w:vAlign w:val="center"/>
          </w:tcPr>
          <w:p>
            <w:pPr>
              <w:pStyle w:val="24"/>
              <w:rPr>
                <w:rFonts w:hint="default" w:ascii="Times New Roman" w:hAnsi="Times New Roman" w:cs="Times New Roman"/>
                <w:color w:val="auto"/>
                <w:kern w:val="2"/>
                <w:sz w:val="15"/>
                <w:szCs w:val="15"/>
                <w:highlight w:val="none"/>
                <w:lang w:val="en-US" w:eastAsia="zh-CN" w:bidi="ar-SA"/>
              </w:rPr>
            </w:pP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69,290,135.32</w:t>
            </w:r>
          </w:p>
        </w:tc>
        <w:tc>
          <w:tcPr>
            <w:tcW w:w="971" w:type="dxa"/>
            <w:vAlign w:val="center"/>
          </w:tcPr>
          <w:p>
            <w:pPr>
              <w:pStyle w:val="24"/>
              <w:rPr>
                <w:rFonts w:hint="default" w:ascii="Times New Roman" w:hAnsi="Times New Roman" w:cs="Times New Roman"/>
                <w:color w:val="auto"/>
                <w:kern w:val="2"/>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24"/>
              <w:widowControl/>
              <w:spacing w:line="200" w:lineRule="exact"/>
              <w:ind w:left="150" w:hanging="150" w:hangingChars="100"/>
              <w:jc w:val="left"/>
              <w:rPr>
                <w:snapToGrid w:val="0"/>
                <w:kern w:val="0"/>
                <w:sz w:val="15"/>
                <w:szCs w:val="15"/>
                <w:highlight w:val="none"/>
                <w:lang w:val="en-US" w:eastAsia="zh-CN" w:bidi="ar-SA"/>
              </w:rPr>
            </w:pPr>
            <w:r>
              <w:rPr>
                <w:snapToGrid w:val="0"/>
                <w:kern w:val="0"/>
                <w:sz w:val="15"/>
                <w:szCs w:val="15"/>
                <w:highlight w:val="none"/>
                <w:lang w:val="en-US" w:eastAsia="zh-CN" w:bidi="ar-SA"/>
              </w:rPr>
              <w:t>2. 应付款变化</w:t>
            </w:r>
          </w:p>
          <w:p>
            <w:pPr>
              <w:pStyle w:val="24"/>
              <w:widowControl/>
              <w:spacing w:line="200" w:lineRule="exact"/>
              <w:ind w:left="150" w:hanging="150" w:hangingChars="1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Change in Payables                                                                                                                          </w:t>
            </w:r>
          </w:p>
        </w:tc>
        <w:tc>
          <w:tcPr>
            <w:tcW w:w="1322" w:type="dxa"/>
            <w:vAlign w:val="center"/>
          </w:tcPr>
          <w:p>
            <w:pPr>
              <w:pStyle w:val="24"/>
              <w:rPr>
                <w:rFonts w:hint="default" w:ascii="Times New Roman" w:hAnsi="Times New Roman" w:cs="Times New Roman"/>
                <w:color w:val="auto"/>
                <w:kern w:val="2"/>
                <w:sz w:val="15"/>
                <w:szCs w:val="15"/>
                <w:highlight w:val="none"/>
                <w:lang w:val="en-US" w:eastAsia="zh-CN" w:bidi="ar-SA"/>
              </w:rPr>
            </w:pP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-67,618,216.77</w:t>
            </w:r>
          </w:p>
        </w:tc>
        <w:tc>
          <w:tcPr>
            <w:tcW w:w="971" w:type="dxa"/>
            <w:vAlign w:val="center"/>
          </w:tcPr>
          <w:p>
            <w:pPr>
              <w:pStyle w:val="24"/>
              <w:jc w:val="center"/>
              <w:rPr>
                <w:rFonts w:hint="default" w:ascii="Times New Roman" w:hAnsi="Times New Roman" w:cs="Times New Roman"/>
                <w:color w:val="auto"/>
                <w:kern w:val="2"/>
                <w:sz w:val="15"/>
                <w:szCs w:val="15"/>
                <w:highlight w:val="none"/>
                <w:lang w:val="en-US" w:eastAsia="zh-CN" w:bidi="ar-SA"/>
              </w:rPr>
            </w:pPr>
          </w:p>
        </w:tc>
        <w:tc>
          <w:tcPr>
            <w:tcW w:w="1586" w:type="dxa"/>
            <w:vAlign w:val="center"/>
          </w:tcPr>
          <w:p>
            <w:pPr>
              <w:pStyle w:val="24"/>
              <w:rPr>
                <w:rFonts w:hint="default" w:ascii="Times New Roman" w:hAnsi="Times New Roman" w:cs="Times New Roman"/>
                <w:color w:val="auto"/>
                <w:kern w:val="2"/>
                <w:sz w:val="15"/>
                <w:szCs w:val="15"/>
                <w:highlight w:val="none"/>
                <w:lang w:val="en-US" w:eastAsia="zh-CN" w:bidi="ar-SA"/>
              </w:rPr>
            </w:pP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-67,619,886.77</w:t>
            </w:r>
          </w:p>
        </w:tc>
        <w:tc>
          <w:tcPr>
            <w:tcW w:w="971" w:type="dxa"/>
            <w:vAlign w:val="center"/>
          </w:tcPr>
          <w:p>
            <w:pPr>
              <w:pStyle w:val="24"/>
              <w:rPr>
                <w:rFonts w:hint="default" w:ascii="Times New Roman" w:hAnsi="Times New Roman" w:cs="Times New Roman"/>
                <w:color w:val="auto"/>
                <w:kern w:val="2"/>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24"/>
              <w:widowControl/>
              <w:spacing w:line="200" w:lineRule="exact"/>
              <w:ind w:left="150" w:hanging="150" w:hangingChars="100"/>
              <w:jc w:val="left"/>
              <w:rPr>
                <w:snapToGrid w:val="0"/>
                <w:kern w:val="0"/>
                <w:sz w:val="15"/>
                <w:szCs w:val="15"/>
                <w:highlight w:val="none"/>
                <w:lang w:val="en-US" w:eastAsia="zh-CN" w:bidi="ar-SA"/>
              </w:rPr>
            </w:pPr>
            <w:r>
              <w:rPr>
                <w:snapToGrid w:val="0"/>
                <w:kern w:val="0"/>
                <w:sz w:val="15"/>
                <w:szCs w:val="15"/>
                <w:highlight w:val="none"/>
                <w:lang w:val="en-US" w:eastAsia="zh-CN" w:bidi="ar-SA"/>
              </w:rPr>
              <w:t>3. 货币资金变化</w:t>
            </w:r>
          </w:p>
          <w:p>
            <w:pPr>
              <w:pStyle w:val="24"/>
              <w:widowControl/>
              <w:spacing w:line="200" w:lineRule="exact"/>
              <w:ind w:left="150" w:hanging="150" w:hangingChars="1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Change in Cash and Bank                                                                                                                       </w:t>
            </w:r>
          </w:p>
        </w:tc>
        <w:tc>
          <w:tcPr>
            <w:tcW w:w="1322" w:type="dxa"/>
            <w:vAlign w:val="center"/>
          </w:tcPr>
          <w:p>
            <w:pPr>
              <w:pStyle w:val="24"/>
              <w:rPr>
                <w:rFonts w:hint="default" w:ascii="Times New Roman" w:hAnsi="Times New Roman" w:cs="Times New Roman"/>
                <w:color w:val="auto"/>
                <w:kern w:val="2"/>
                <w:sz w:val="15"/>
                <w:szCs w:val="15"/>
                <w:highlight w:val="none"/>
                <w:lang w:val="en-US" w:eastAsia="zh-CN" w:bidi="ar-SA"/>
              </w:rPr>
            </w:pP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1,175,155.62</w:t>
            </w:r>
          </w:p>
        </w:tc>
        <w:tc>
          <w:tcPr>
            <w:tcW w:w="971" w:type="dxa"/>
            <w:vAlign w:val="center"/>
          </w:tcPr>
          <w:p>
            <w:pPr>
              <w:pStyle w:val="24"/>
              <w:jc w:val="center"/>
              <w:rPr>
                <w:rFonts w:hint="default" w:ascii="Times New Roman" w:hAnsi="Times New Roman" w:cs="Times New Roman"/>
                <w:color w:val="auto"/>
                <w:kern w:val="2"/>
                <w:sz w:val="15"/>
                <w:szCs w:val="15"/>
                <w:highlight w:val="none"/>
                <w:lang w:val="en-US" w:eastAsia="zh-CN" w:bidi="ar-SA"/>
              </w:rPr>
            </w:pPr>
          </w:p>
        </w:tc>
        <w:tc>
          <w:tcPr>
            <w:tcW w:w="1586" w:type="dxa"/>
            <w:vAlign w:val="center"/>
          </w:tcPr>
          <w:p>
            <w:pPr>
              <w:pStyle w:val="24"/>
              <w:rPr>
                <w:rFonts w:hint="default" w:ascii="Times New Roman" w:hAnsi="Times New Roman" w:cs="Times New Roman"/>
                <w:color w:val="auto"/>
                <w:kern w:val="2"/>
                <w:sz w:val="15"/>
                <w:szCs w:val="15"/>
                <w:highlight w:val="none"/>
                <w:lang w:val="en-US" w:eastAsia="zh-CN" w:bidi="ar-SA"/>
              </w:rPr>
            </w:pP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32,589,557.80</w:t>
            </w:r>
          </w:p>
        </w:tc>
        <w:tc>
          <w:tcPr>
            <w:tcW w:w="971" w:type="dxa"/>
            <w:vAlign w:val="center"/>
          </w:tcPr>
          <w:p>
            <w:pPr>
              <w:pStyle w:val="24"/>
              <w:rPr>
                <w:rFonts w:hint="default" w:ascii="Times New Roman" w:hAnsi="Times New Roman" w:cs="Times New Roman"/>
                <w:color w:val="auto"/>
                <w:kern w:val="2"/>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24"/>
              <w:widowControl/>
              <w:spacing w:line="200" w:lineRule="exact"/>
              <w:ind w:left="301" w:leftChars="72" w:hanging="150" w:hangingChars="100"/>
              <w:jc w:val="left"/>
              <w:rPr>
                <w:snapToGrid w:val="0"/>
                <w:kern w:val="0"/>
                <w:sz w:val="15"/>
                <w:szCs w:val="15"/>
                <w:highlight w:val="none"/>
                <w:lang w:val="en-US" w:eastAsia="zh-CN" w:bidi="ar-SA"/>
              </w:rPr>
            </w:pPr>
            <w:r>
              <w:rPr>
                <w:snapToGrid w:val="0"/>
                <w:kern w:val="0"/>
                <w:sz w:val="15"/>
                <w:szCs w:val="15"/>
                <w:highlight w:val="none"/>
                <w:lang w:val="en-US" w:eastAsia="zh-CN" w:bidi="ar-SA"/>
              </w:rPr>
              <w:t>4. 其它</w:t>
            </w:r>
          </w:p>
          <w:p>
            <w:pPr>
              <w:pStyle w:val="24"/>
              <w:widowControl/>
              <w:spacing w:line="200" w:lineRule="exact"/>
              <w:ind w:left="301" w:leftChars="72" w:hanging="150" w:hangingChars="1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Other                                                                                                                               </w:t>
            </w:r>
          </w:p>
        </w:tc>
        <w:tc>
          <w:tcPr>
            <w:tcW w:w="1322" w:type="dxa"/>
            <w:vAlign w:val="center"/>
          </w:tcPr>
          <w:p>
            <w:pPr>
              <w:pStyle w:val="24"/>
              <w:rPr>
                <w:rFonts w:hint="default" w:ascii="Times New Roman" w:hAnsi="Times New Roman" w:cs="Times New Roman"/>
                <w:color w:val="auto"/>
                <w:kern w:val="2"/>
                <w:sz w:val="15"/>
                <w:szCs w:val="15"/>
                <w:highlight w:val="none"/>
                <w:lang w:val="en-US" w:eastAsia="zh-CN" w:bidi="ar-SA"/>
              </w:rPr>
            </w:pPr>
          </w:p>
        </w:tc>
        <w:tc>
          <w:tcPr>
            <w:tcW w:w="1400"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-20,304.78</w:t>
            </w:r>
          </w:p>
        </w:tc>
        <w:tc>
          <w:tcPr>
            <w:tcW w:w="971" w:type="dxa"/>
            <w:vAlign w:val="center"/>
          </w:tcPr>
          <w:p>
            <w:pPr>
              <w:pStyle w:val="24"/>
              <w:jc w:val="center"/>
              <w:rPr>
                <w:rFonts w:hint="default" w:ascii="Times New Roman" w:hAnsi="Times New Roman" w:cs="Times New Roman"/>
                <w:color w:val="auto"/>
                <w:kern w:val="2"/>
                <w:sz w:val="15"/>
                <w:szCs w:val="15"/>
                <w:highlight w:val="none"/>
                <w:lang w:val="en-US" w:eastAsia="zh-CN" w:bidi="ar-SA"/>
              </w:rPr>
            </w:pPr>
          </w:p>
        </w:tc>
        <w:tc>
          <w:tcPr>
            <w:tcW w:w="1586" w:type="dxa"/>
            <w:vAlign w:val="center"/>
          </w:tcPr>
          <w:p>
            <w:pPr>
              <w:pStyle w:val="24"/>
              <w:rPr>
                <w:rFonts w:hint="default" w:ascii="Times New Roman" w:hAnsi="Times New Roman" w:cs="Times New Roman"/>
                <w:color w:val="auto"/>
                <w:kern w:val="2"/>
                <w:sz w:val="15"/>
                <w:szCs w:val="15"/>
                <w:highlight w:val="none"/>
                <w:lang w:val="en-US" w:eastAsia="zh-CN" w:bidi="ar-SA"/>
              </w:rPr>
            </w:pPr>
          </w:p>
        </w:tc>
        <w:tc>
          <w:tcPr>
            <w:tcW w:w="1329" w:type="dxa"/>
            <w:vAlign w:val="center"/>
          </w:tcPr>
          <w:p>
            <w:pPr>
              <w:pStyle w:val="24"/>
              <w:keepNext w:val="0"/>
              <w:keepLines w:val="0"/>
              <w:widowControl/>
              <w:suppressLineNumbers w:val="0"/>
              <w:jc w:val="right"/>
              <w:textAlignment w:val="center"/>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-32,113.40</w:t>
            </w:r>
          </w:p>
        </w:tc>
        <w:tc>
          <w:tcPr>
            <w:tcW w:w="971" w:type="dxa"/>
            <w:vAlign w:val="center"/>
          </w:tcPr>
          <w:p>
            <w:pPr>
              <w:pStyle w:val="24"/>
              <w:rPr>
                <w:rFonts w:hint="default" w:ascii="Times New Roman" w:hAnsi="Times New Roman" w:cs="Times New Roman"/>
                <w:color w:val="auto"/>
                <w:kern w:val="2"/>
                <w:sz w:val="15"/>
                <w:szCs w:val="15"/>
                <w:highlight w:val="none"/>
                <w:lang w:val="en-US" w:eastAsia="zh-CN" w:bidi="ar-SA"/>
              </w:rPr>
            </w:pPr>
          </w:p>
        </w:tc>
      </w:tr>
    </w:tbl>
    <w:p>
      <w:pPr>
        <w:pStyle w:val="24"/>
        <w:spacing w:line="300" w:lineRule="exact"/>
        <w:rPr>
          <w:rFonts w:eastAsia="仿宋_GB2312"/>
          <w:snapToGrid w:val="0"/>
          <w:kern w:val="0"/>
          <w:sz w:val="21"/>
          <w:highlight w:val="none"/>
          <w:lang w:val="en-US" w:eastAsia="zh-CN" w:bidi="ar-SA"/>
        </w:rPr>
        <w:sectPr>
          <w:footerReference r:id="rId5" w:type="default"/>
          <w:footerReference r:id="rId6" w:type="even"/>
          <w:footnotePr>
            <w:numRestart w:val="eachPage"/>
          </w:footnotePr>
          <w:type w:val="nextColumn"/>
          <w:pgSz w:w="11850" w:h="16783"/>
          <w:pgMar w:top="2098" w:right="1474" w:bottom="1985" w:left="1588" w:header="851" w:footer="992" w:gutter="0"/>
          <w:cols w:space="720" w:num="1"/>
          <w:docGrid w:type="linesAndChars" w:linePitch="312" w:charSpace="0"/>
        </w:sectPr>
      </w:pPr>
    </w:p>
    <w:p>
      <w:pPr>
        <w:pStyle w:val="25"/>
        <w:rPr>
          <w:rFonts w:eastAsia="仿宋_GB2312"/>
          <w:b/>
          <w:snapToGrid w:val="0"/>
          <w:kern w:val="0"/>
          <w:sz w:val="32"/>
          <w:szCs w:val="32"/>
          <w:highlight w:val="none"/>
          <w:lang w:val="en-GB" w:eastAsia="zh-CN" w:bidi="ar-SA"/>
        </w:rPr>
      </w:pPr>
      <w:r>
        <w:rPr>
          <w:rFonts w:eastAsia="仿宋_GB2312"/>
          <w:b/>
          <w:bCs/>
          <w:snapToGrid w:val="0"/>
          <w:kern w:val="0"/>
          <w:sz w:val="32"/>
          <w:szCs w:val="32"/>
          <w:highlight w:val="none"/>
          <w:lang w:val="en-GB" w:eastAsia="zh-CN" w:bidi="ar-SA"/>
        </w:rPr>
        <w:t>项 目 进 度 表（二）</w:t>
      </w:r>
    </w:p>
    <w:p>
      <w:pPr>
        <w:pStyle w:val="27"/>
        <w:rPr>
          <w:b/>
          <w:bCs/>
          <w:snapToGrid w:val="0"/>
          <w:kern w:val="0"/>
          <w:sz w:val="32"/>
          <w:szCs w:val="32"/>
          <w:highlight w:val="none"/>
          <w:lang w:val="en-US" w:eastAsia="zh-CN" w:bidi="ar-SA"/>
        </w:rPr>
      </w:pPr>
      <w:r>
        <w:rPr>
          <w:b/>
          <w:bCs/>
          <w:snapToGrid w:val="0"/>
          <w:kern w:val="0"/>
          <w:sz w:val="32"/>
          <w:szCs w:val="32"/>
          <w:highlight w:val="none"/>
          <w:lang w:val="en-US" w:eastAsia="zh-CN" w:bidi="ar-SA"/>
        </w:rPr>
        <w:t xml:space="preserve">SUMMARY OF SOURCES AND USES OF FUNDS </w:t>
      </w:r>
    </w:p>
    <w:p>
      <w:pPr>
        <w:pStyle w:val="27"/>
        <w:rPr>
          <w:b/>
          <w:bCs/>
          <w:snapToGrid w:val="0"/>
          <w:kern w:val="0"/>
          <w:sz w:val="32"/>
          <w:szCs w:val="32"/>
          <w:highlight w:val="none"/>
          <w:lang w:val="en-US" w:eastAsia="zh-CN" w:bidi="ar-SA"/>
        </w:rPr>
      </w:pPr>
      <w:r>
        <w:rPr>
          <w:b/>
          <w:bCs/>
          <w:snapToGrid w:val="0"/>
          <w:kern w:val="0"/>
          <w:sz w:val="32"/>
          <w:szCs w:val="32"/>
          <w:highlight w:val="none"/>
          <w:lang w:val="en-US" w:eastAsia="zh-CN" w:bidi="ar-SA"/>
        </w:rPr>
        <w:t xml:space="preserve">BY PROJECT COMPONENT </w:t>
      </w:r>
      <w:r>
        <w:rPr>
          <w:rFonts w:ascii="宋体" w:hAnsi="宋体"/>
          <w:b/>
          <w:bCs/>
          <w:snapToGrid w:val="0"/>
          <w:kern w:val="0"/>
          <w:sz w:val="32"/>
          <w:szCs w:val="32"/>
          <w:highlight w:val="none"/>
          <w:lang w:val="en-US" w:eastAsia="zh-CN" w:bidi="ar-SA"/>
        </w:rPr>
        <w:t>Ⅱ</w:t>
      </w:r>
    </w:p>
    <w:p>
      <w:pPr>
        <w:pStyle w:val="28"/>
        <w:rPr>
          <w:rFonts w:eastAsia="仿宋_GB2312"/>
          <w:snapToGrid w:val="0"/>
          <w:kern w:val="0"/>
          <w:sz w:val="21"/>
          <w:szCs w:val="28"/>
          <w:highlight w:val="none"/>
          <w:lang w:val="en-GB" w:eastAsia="zh-CN" w:bidi="ar-SA"/>
        </w:rPr>
      </w:pPr>
      <w:r>
        <w:rPr>
          <w:rFonts w:eastAsia="仿宋_GB2312"/>
          <w:snapToGrid w:val="0"/>
          <w:kern w:val="0"/>
          <w:sz w:val="21"/>
          <w:szCs w:val="28"/>
          <w:highlight w:val="none"/>
          <w:lang w:val="en-GB" w:eastAsia="zh-CN" w:bidi="ar-SA"/>
        </w:rPr>
        <w:t>本期截至</w:t>
      </w:r>
      <w:r>
        <w:rPr>
          <w:rFonts w:hint="eastAsia" w:eastAsia="仿宋_GB2312"/>
          <w:snapToGrid w:val="0"/>
          <w:kern w:val="0"/>
          <w:sz w:val="21"/>
          <w:szCs w:val="28"/>
          <w:highlight w:val="none"/>
          <w:lang w:val="en-GB" w:eastAsia="zh-CN" w:bidi="ar-SA"/>
        </w:rPr>
        <w:t>201</w:t>
      </w:r>
      <w:r>
        <w:rPr>
          <w:rFonts w:hint="eastAsia" w:eastAsia="仿宋_GB2312"/>
          <w:snapToGrid w:val="0"/>
          <w:kern w:val="0"/>
          <w:sz w:val="21"/>
          <w:szCs w:val="28"/>
          <w:highlight w:val="none"/>
          <w:lang w:val="en-US" w:eastAsia="zh-CN" w:bidi="ar-SA"/>
        </w:rPr>
        <w:t>9</w:t>
      </w:r>
      <w:r>
        <w:rPr>
          <w:rFonts w:eastAsia="仿宋_GB2312"/>
          <w:snapToGrid w:val="0"/>
          <w:kern w:val="0"/>
          <w:sz w:val="21"/>
          <w:szCs w:val="28"/>
          <w:highlight w:val="none"/>
          <w:lang w:val="en-GB" w:eastAsia="zh-CN" w:bidi="ar-SA"/>
        </w:rPr>
        <w:t xml:space="preserve">年12月31日 </w:t>
      </w:r>
    </w:p>
    <w:p>
      <w:pPr>
        <w:pStyle w:val="28"/>
        <w:rPr>
          <w:rFonts w:eastAsia="仿宋_GB2312"/>
          <w:snapToGrid w:val="0"/>
          <w:kern w:val="0"/>
          <w:sz w:val="21"/>
          <w:szCs w:val="28"/>
          <w:highlight w:val="none"/>
          <w:lang w:val="en-GB" w:eastAsia="zh-CN" w:bidi="ar-SA"/>
        </w:rPr>
      </w:pPr>
      <w:r>
        <w:rPr>
          <w:rFonts w:eastAsia="仿宋_GB2312"/>
          <w:snapToGrid w:val="0"/>
          <w:kern w:val="0"/>
          <w:sz w:val="21"/>
          <w:szCs w:val="28"/>
          <w:highlight w:val="none"/>
          <w:lang w:val="en-GB" w:eastAsia="zh-CN" w:bidi="ar-SA"/>
        </w:rPr>
        <w:t xml:space="preserve">(For the period ended December 31, </w:t>
      </w:r>
      <w:r>
        <w:rPr>
          <w:rFonts w:hint="eastAsia" w:eastAsia="仿宋_GB2312"/>
          <w:snapToGrid w:val="0"/>
          <w:kern w:val="0"/>
          <w:sz w:val="21"/>
          <w:szCs w:val="28"/>
          <w:highlight w:val="none"/>
          <w:lang w:val="en-GB" w:eastAsia="zh-CN" w:bidi="ar-SA"/>
        </w:rPr>
        <w:t>201</w:t>
      </w:r>
      <w:r>
        <w:rPr>
          <w:rFonts w:hint="eastAsia" w:eastAsia="仿宋_GB2312"/>
          <w:snapToGrid w:val="0"/>
          <w:kern w:val="0"/>
          <w:sz w:val="21"/>
          <w:szCs w:val="28"/>
          <w:highlight w:val="none"/>
          <w:lang w:val="en-US" w:eastAsia="zh-CN" w:bidi="ar-SA"/>
        </w:rPr>
        <w:t>9</w:t>
      </w:r>
      <w:r>
        <w:rPr>
          <w:rFonts w:eastAsia="仿宋_GB2312"/>
          <w:snapToGrid w:val="0"/>
          <w:kern w:val="0"/>
          <w:sz w:val="21"/>
          <w:szCs w:val="28"/>
          <w:highlight w:val="none"/>
          <w:lang w:val="en-GB" w:eastAsia="zh-CN" w:bidi="ar-SA"/>
        </w:rPr>
        <w:t>）</w:t>
      </w:r>
    </w:p>
    <w:p>
      <w:pPr>
        <w:pStyle w:val="28"/>
        <w:rPr>
          <w:rFonts w:eastAsia="仿宋_GB2312"/>
          <w:snapToGrid w:val="0"/>
          <w:kern w:val="0"/>
          <w:sz w:val="21"/>
          <w:szCs w:val="28"/>
          <w:highlight w:val="none"/>
          <w:lang w:val="en-GB" w:eastAsia="zh-CN" w:bidi="ar-SA"/>
        </w:rPr>
      </w:pPr>
    </w:p>
    <w:p>
      <w:pPr>
        <w:pStyle w:val="24"/>
        <w:snapToGrid w:val="0"/>
        <w:spacing w:line="120" w:lineRule="atLeast"/>
        <w:ind w:leftChars="-7" w:right="-1784" w:hanging="14" w:hangingChars="7"/>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项目名称：世界银行贷款</w:t>
      </w:r>
      <w:r>
        <w:rPr>
          <w:rFonts w:hint="eastAsia" w:eastAsia="仿宋_GB2312"/>
          <w:snapToGrid w:val="0"/>
          <w:kern w:val="0"/>
          <w:sz w:val="21"/>
          <w:highlight w:val="none"/>
          <w:lang w:val="en-US" w:eastAsia="zh-CN" w:bidi="ar-SA"/>
        </w:rPr>
        <w:t>芦山</w:t>
      </w:r>
      <w:r>
        <w:rPr>
          <w:rFonts w:eastAsia="仿宋_GB2312"/>
          <w:snapToGrid w:val="0"/>
          <w:kern w:val="0"/>
          <w:sz w:val="21"/>
          <w:highlight w:val="none"/>
          <w:lang w:val="en-US" w:eastAsia="zh-CN" w:bidi="ar-SA"/>
        </w:rPr>
        <w:t>地震</w:t>
      </w:r>
      <w:r>
        <w:rPr>
          <w:rFonts w:hint="eastAsia" w:eastAsia="仿宋_GB2312"/>
          <w:snapToGrid w:val="0"/>
          <w:kern w:val="0"/>
          <w:sz w:val="21"/>
          <w:highlight w:val="none"/>
          <w:lang w:val="en-US" w:eastAsia="zh-CN" w:bidi="ar-SA"/>
        </w:rPr>
        <w:t>灾后恢复重建项目</w:t>
      </w:r>
      <w:r>
        <w:rPr>
          <w:rFonts w:eastAsia="仿宋_GB2312"/>
          <w:snapToGrid w:val="0"/>
          <w:kern w:val="0"/>
          <w:sz w:val="21"/>
          <w:highlight w:val="none"/>
          <w:lang w:val="en-US" w:eastAsia="zh-CN" w:bidi="ar-SA"/>
        </w:rPr>
        <w:t>-城建子项目</w:t>
      </w:r>
    </w:p>
    <w:p>
      <w:pPr>
        <w:pStyle w:val="24"/>
        <w:snapToGrid w:val="0"/>
        <w:spacing w:line="120" w:lineRule="atLeast"/>
        <w:ind w:leftChars="-207" w:right="-1784" w:hanging="434" w:hangingChars="207"/>
        <w:rPr>
          <w:rFonts w:eastAsia="仿宋_GB2312"/>
          <w:snapToGrid w:val="0"/>
          <w:kern w:val="0"/>
          <w:sz w:val="21"/>
          <w:highlight w:val="none"/>
          <w:lang w:val="en-US" w:eastAsia="zh-CN" w:bidi="ar-SA"/>
        </w:rPr>
      </w:pPr>
      <w:r>
        <w:rPr>
          <w:rFonts w:hint="eastAsia" w:eastAsia="仿宋_GB2312"/>
          <w:snapToGrid w:val="0"/>
          <w:kern w:val="0"/>
          <w:sz w:val="21"/>
          <w:highlight w:val="none"/>
          <w:lang w:val="en-US" w:eastAsia="zh-CN" w:bidi="ar-SA"/>
        </w:rPr>
        <w:t xml:space="preserve">    </w:t>
      </w:r>
      <w:r>
        <w:rPr>
          <w:rFonts w:eastAsia="仿宋_GB2312"/>
          <w:snapToGrid w:val="0"/>
          <w:kern w:val="0"/>
          <w:sz w:val="21"/>
          <w:highlight w:val="none"/>
          <w:lang w:val="en-US" w:eastAsia="zh-CN" w:bidi="ar-SA"/>
        </w:rPr>
        <w:t xml:space="preserve">Project Name: Lushan Earthquake Recovery and Reconstruction Project Financed by World Bank - Urban </w:t>
      </w:r>
      <w:r>
        <w:rPr>
          <w:rFonts w:hint="eastAsia" w:eastAsia="仿宋_GB2312"/>
          <w:snapToGrid w:val="0"/>
          <w:kern w:val="0"/>
          <w:sz w:val="21"/>
          <w:highlight w:val="none"/>
          <w:lang w:val="en-US" w:eastAsia="zh-CN" w:bidi="ar-SA"/>
        </w:rPr>
        <w:t xml:space="preserve"> </w:t>
      </w:r>
      <w:r>
        <w:rPr>
          <w:rFonts w:eastAsia="仿宋_GB2312"/>
          <w:snapToGrid w:val="0"/>
          <w:kern w:val="0"/>
          <w:sz w:val="21"/>
          <w:highlight w:val="none"/>
          <w:lang w:val="en-US" w:eastAsia="zh-CN" w:bidi="ar-SA"/>
        </w:rPr>
        <w:t>Construction Subproject</w:t>
      </w:r>
    </w:p>
    <w:p>
      <w:pPr>
        <w:pStyle w:val="24"/>
        <w:snapToGrid w:val="0"/>
        <w:spacing w:line="120" w:lineRule="atLeast"/>
        <w:ind w:left="-434" w:leftChars="-207" w:right="-1784" w:firstLine="420" w:firstLineChars="200"/>
        <w:jc w:val="left"/>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编报单位：四川省人民政府水资源规划城建环保项目领导小组办公室                                        货币单</w:t>
      </w:r>
      <w:r>
        <w:rPr>
          <w:rFonts w:eastAsia="仿宋_GB2312"/>
          <w:snapToGrid w:val="0"/>
          <w:kern w:val="0"/>
          <w:sz w:val="21"/>
          <w:szCs w:val="21"/>
          <w:highlight w:val="none"/>
          <w:lang w:val="en-US" w:eastAsia="zh-CN" w:bidi="ar-SA"/>
        </w:rPr>
        <w:t>位：人民币元</w:t>
      </w:r>
    </w:p>
    <w:p>
      <w:pPr>
        <w:pStyle w:val="24"/>
        <w:snapToGrid w:val="0"/>
        <w:spacing w:line="120" w:lineRule="atLeast"/>
        <w:ind w:leftChars="-7" w:right="-1784" w:hanging="14" w:hangingChars="7"/>
        <w:rPr>
          <w:rFonts w:eastAsia="仿宋_GB2312"/>
          <w:snapToGrid w:val="0"/>
          <w:kern w:val="0"/>
          <w:sz w:val="18"/>
          <w:highlight w:val="none"/>
          <w:lang w:val="en-US" w:eastAsia="zh-CN" w:bidi="ar-SA"/>
        </w:rPr>
      </w:pPr>
      <w:r>
        <w:rPr>
          <w:snapToGrid w:val="0"/>
          <w:kern w:val="0"/>
          <w:sz w:val="21"/>
          <w:highlight w:val="none"/>
          <w:lang w:val="en-US" w:eastAsia="zh-CN" w:bidi="ar-SA"/>
        </w:rPr>
        <w:t xml:space="preserve">Prepared by: Sichuan Urban Environment Project Office          </w:t>
      </w:r>
      <w:r>
        <w:rPr>
          <w:snapToGrid w:val="0"/>
          <w:kern w:val="0"/>
          <w:sz w:val="18"/>
          <w:highlight w:val="none"/>
          <w:lang w:val="en-US" w:eastAsia="zh-CN" w:bidi="ar-SA"/>
        </w:rPr>
        <w:t xml:space="preserve">                                                    </w:t>
      </w:r>
      <w:r>
        <w:rPr>
          <w:snapToGrid w:val="0"/>
          <w:kern w:val="0"/>
          <w:sz w:val="21"/>
          <w:szCs w:val="21"/>
          <w:highlight w:val="none"/>
          <w:lang w:val="en-US" w:eastAsia="zh-CN" w:bidi="ar-SA"/>
        </w:rPr>
        <w:t>Currency Unit: RMB Yuan</w:t>
      </w:r>
    </w:p>
    <w:tbl>
      <w:tblPr>
        <w:tblStyle w:val="6"/>
        <w:tblW w:w="13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2"/>
        <w:gridCol w:w="1588"/>
        <w:gridCol w:w="1106"/>
        <w:gridCol w:w="1155"/>
        <w:gridCol w:w="1273"/>
        <w:gridCol w:w="1155"/>
        <w:gridCol w:w="1374"/>
        <w:gridCol w:w="1365"/>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blHeader/>
          <w:jc w:val="center"/>
        </w:trPr>
        <w:tc>
          <w:tcPr>
            <w:tcW w:w="3462" w:type="dxa"/>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项目内容</w:t>
            </w:r>
          </w:p>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Project Component</w:t>
            </w:r>
          </w:p>
        </w:tc>
        <w:tc>
          <w:tcPr>
            <w:tcW w:w="10435" w:type="dxa"/>
            <w:gridSpan w:val="8"/>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 xml:space="preserve">项目支出 </w:t>
            </w:r>
          </w:p>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Project Expenditure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3462" w:type="dxa"/>
            <w:vAlign w:val="center"/>
          </w:tcPr>
          <w:p>
            <w:pPr>
              <w:pStyle w:val="24"/>
              <w:widowControl/>
              <w:rPr>
                <w:snapToGrid w:val="0"/>
                <w:kern w:val="0"/>
                <w:sz w:val="15"/>
                <w:szCs w:val="15"/>
                <w:highlight w:val="none"/>
                <w:lang w:val="en-US" w:eastAsia="zh-CN" w:bidi="ar-SA"/>
              </w:rPr>
            </w:pPr>
          </w:p>
        </w:tc>
        <w:tc>
          <w:tcPr>
            <w:tcW w:w="1588" w:type="dxa"/>
            <w:vAlign w:val="center"/>
          </w:tcPr>
          <w:p>
            <w:pPr>
              <w:pStyle w:val="24"/>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累计支出</w:t>
            </w:r>
          </w:p>
          <w:p>
            <w:pPr>
              <w:pStyle w:val="24"/>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Cumulative Amount</w:t>
            </w:r>
          </w:p>
        </w:tc>
        <w:tc>
          <w:tcPr>
            <w:tcW w:w="4689" w:type="dxa"/>
            <w:gridSpan w:val="4"/>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已交付资产</w:t>
            </w:r>
          </w:p>
          <w:p>
            <w:pPr>
              <w:pStyle w:val="24"/>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Assets Transferred</w:t>
            </w:r>
          </w:p>
        </w:tc>
        <w:tc>
          <w:tcPr>
            <w:tcW w:w="1374" w:type="dxa"/>
            <w:vMerge w:val="restart"/>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在建工程             Work in Progress</w:t>
            </w:r>
          </w:p>
        </w:tc>
        <w:tc>
          <w:tcPr>
            <w:tcW w:w="1365" w:type="dxa"/>
            <w:vMerge w:val="restart"/>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待核销项目支出Construction Expenditures to be Disposed</w:t>
            </w:r>
          </w:p>
        </w:tc>
        <w:tc>
          <w:tcPr>
            <w:tcW w:w="1419" w:type="dxa"/>
            <w:vMerge w:val="restart"/>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转出投资Investments Transferred-out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3462" w:type="dxa"/>
            <w:vAlign w:val="center"/>
          </w:tcPr>
          <w:p>
            <w:pPr>
              <w:pStyle w:val="24"/>
              <w:widowControl/>
              <w:rPr>
                <w:snapToGrid w:val="0"/>
                <w:kern w:val="0"/>
                <w:sz w:val="15"/>
                <w:szCs w:val="15"/>
                <w:highlight w:val="none"/>
                <w:lang w:val="en-US" w:eastAsia="zh-CN" w:bidi="ar-SA"/>
              </w:rPr>
            </w:pPr>
          </w:p>
        </w:tc>
        <w:tc>
          <w:tcPr>
            <w:tcW w:w="1588" w:type="dxa"/>
            <w:vAlign w:val="center"/>
          </w:tcPr>
          <w:p>
            <w:pPr>
              <w:pStyle w:val="24"/>
              <w:widowControl/>
              <w:spacing w:line="200" w:lineRule="exact"/>
              <w:jc w:val="center"/>
              <w:rPr>
                <w:snapToGrid w:val="0"/>
                <w:kern w:val="0"/>
                <w:sz w:val="15"/>
                <w:szCs w:val="15"/>
                <w:highlight w:val="none"/>
                <w:lang w:val="en-US" w:eastAsia="zh-CN" w:bidi="ar-SA"/>
              </w:rPr>
            </w:pPr>
          </w:p>
        </w:tc>
        <w:tc>
          <w:tcPr>
            <w:tcW w:w="1106" w:type="dxa"/>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固定资产                 Fixed Asset</w:t>
            </w:r>
          </w:p>
        </w:tc>
        <w:tc>
          <w:tcPr>
            <w:tcW w:w="1155" w:type="dxa"/>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流动资产</w:t>
            </w:r>
          </w:p>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 xml:space="preserve">Current Asset </w:t>
            </w:r>
          </w:p>
        </w:tc>
        <w:tc>
          <w:tcPr>
            <w:tcW w:w="1273" w:type="dxa"/>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无形资产</w:t>
            </w:r>
          </w:p>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 xml:space="preserve">Intangible Asset </w:t>
            </w:r>
          </w:p>
        </w:tc>
        <w:tc>
          <w:tcPr>
            <w:tcW w:w="1155" w:type="dxa"/>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递延资产  Deferred Asset</w:t>
            </w:r>
          </w:p>
        </w:tc>
        <w:tc>
          <w:tcPr>
            <w:tcW w:w="1374" w:type="dxa"/>
            <w:vMerge w:val="continue"/>
            <w:vAlign w:val="center"/>
          </w:tcPr>
          <w:p>
            <w:pPr>
              <w:pStyle w:val="24"/>
              <w:widowControl/>
              <w:spacing w:line="200" w:lineRule="exact"/>
              <w:jc w:val="right"/>
              <w:rPr>
                <w:snapToGrid w:val="0"/>
                <w:kern w:val="0"/>
                <w:sz w:val="15"/>
                <w:szCs w:val="15"/>
                <w:highlight w:val="none"/>
                <w:lang w:val="en-US" w:eastAsia="zh-CN" w:bidi="ar-SA"/>
              </w:rPr>
            </w:pPr>
          </w:p>
        </w:tc>
        <w:tc>
          <w:tcPr>
            <w:tcW w:w="1365" w:type="dxa"/>
            <w:vMerge w:val="continue"/>
            <w:vAlign w:val="center"/>
          </w:tcPr>
          <w:p>
            <w:pPr>
              <w:pStyle w:val="24"/>
              <w:widowControl/>
              <w:spacing w:line="200" w:lineRule="exact"/>
              <w:jc w:val="right"/>
              <w:rPr>
                <w:snapToGrid w:val="0"/>
                <w:kern w:val="0"/>
                <w:sz w:val="15"/>
                <w:szCs w:val="15"/>
                <w:highlight w:val="none"/>
                <w:lang w:val="en-US" w:eastAsia="zh-CN" w:bidi="ar-SA"/>
              </w:rPr>
            </w:pPr>
          </w:p>
        </w:tc>
        <w:tc>
          <w:tcPr>
            <w:tcW w:w="1419" w:type="dxa"/>
            <w:vMerge w:val="continue"/>
            <w:vAlign w:val="center"/>
          </w:tcPr>
          <w:p>
            <w:pPr>
              <w:pStyle w:val="24"/>
              <w:widowControl/>
              <w:spacing w:line="200" w:lineRule="exact"/>
              <w:jc w:val="right"/>
              <w:rPr>
                <w:snapToGrid w:val="0"/>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3462" w:type="dxa"/>
            <w:vAlign w:val="center"/>
          </w:tcPr>
          <w:p>
            <w:pPr>
              <w:pStyle w:val="24"/>
              <w:widowControl/>
              <w:spacing w:line="200" w:lineRule="exact"/>
              <w:ind w:left="150" w:hanging="150" w:hangingChars="1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1、农村道路建设 </w:t>
            </w:r>
            <w:r>
              <w:rPr>
                <w:snapToGrid w:val="0"/>
                <w:kern w:val="0"/>
                <w:sz w:val="15"/>
                <w:szCs w:val="15"/>
                <w:highlight w:val="none"/>
                <w:lang w:val="en-US" w:eastAsia="zh-CN" w:bidi="ar-SA"/>
              </w:rPr>
              <w:br w:type="textWrapping"/>
            </w:r>
            <w:r>
              <w:rPr>
                <w:snapToGrid w:val="0"/>
                <w:kern w:val="0"/>
                <w:sz w:val="15"/>
                <w:szCs w:val="15"/>
                <w:highlight w:val="none"/>
                <w:lang w:val="en-US" w:eastAsia="zh-CN" w:bidi="ar-SA"/>
              </w:rPr>
              <w:t xml:space="preserve"> Upgrading and Risk Reduction of Rural Roads</w:t>
            </w:r>
          </w:p>
        </w:tc>
        <w:tc>
          <w:tcPr>
            <w:tcW w:w="1588" w:type="dxa"/>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w:t>
            </w:r>
            <w:r>
              <w:rPr>
                <w:color w:val="auto"/>
                <w:kern w:val="2"/>
                <w:sz w:val="15"/>
                <w:szCs w:val="15"/>
                <w:highlight w:val="none"/>
                <w:lang w:val="en-US" w:eastAsia="zh-CN" w:bidi="ar-SA"/>
              </w:rPr>
              <w:t xml:space="preserve">                         </w:t>
            </w:r>
          </w:p>
        </w:tc>
        <w:tc>
          <w:tcPr>
            <w:tcW w:w="1106" w:type="dxa"/>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155" w:type="dxa"/>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273" w:type="dxa"/>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155" w:type="dxa"/>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374" w:type="dxa"/>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w:t>
            </w:r>
            <w:r>
              <w:rPr>
                <w:color w:val="auto"/>
                <w:kern w:val="2"/>
                <w:sz w:val="15"/>
                <w:szCs w:val="15"/>
                <w:highlight w:val="none"/>
                <w:lang w:val="en-US" w:eastAsia="zh-CN" w:bidi="ar-SA"/>
              </w:rPr>
              <w:t xml:space="preserve">                                  </w:t>
            </w:r>
          </w:p>
        </w:tc>
        <w:tc>
          <w:tcPr>
            <w:tcW w:w="1365" w:type="dxa"/>
            <w:vAlign w:val="center"/>
          </w:tcPr>
          <w:p>
            <w:pPr>
              <w:pStyle w:val="24"/>
              <w:jc w:val="right"/>
              <w:rPr>
                <w:snapToGrid w:val="0"/>
                <w:kern w:val="0"/>
                <w:sz w:val="15"/>
                <w:szCs w:val="15"/>
                <w:highlight w:val="none"/>
                <w:lang w:val="en-US" w:eastAsia="zh-CN" w:bidi="ar-SA"/>
              </w:rPr>
            </w:pPr>
            <w:r>
              <w:rPr>
                <w:color w:val="auto"/>
                <w:kern w:val="2"/>
                <w:sz w:val="15"/>
                <w:szCs w:val="15"/>
                <w:highlight w:val="none"/>
                <w:lang w:val="en-US" w:eastAsia="zh-CN" w:bidi="ar-SA"/>
              </w:rPr>
              <w:t xml:space="preserve">- </w:t>
            </w:r>
          </w:p>
        </w:tc>
        <w:tc>
          <w:tcPr>
            <w:tcW w:w="1419" w:type="dxa"/>
            <w:vAlign w:val="center"/>
          </w:tcPr>
          <w:p>
            <w:pPr>
              <w:pStyle w:val="24"/>
              <w:jc w:val="right"/>
              <w:rPr>
                <w:snapToGrid w:val="0"/>
                <w:kern w:val="0"/>
                <w:sz w:val="15"/>
                <w:szCs w:val="15"/>
                <w:highlight w:val="none"/>
                <w:lang w:val="en-US" w:eastAsia="zh-CN" w:bidi="ar-SA"/>
              </w:rPr>
            </w:pPr>
            <w:r>
              <w:rPr>
                <w:color w:val="auto"/>
                <w:kern w:val="2"/>
                <w:sz w:val="15"/>
                <w:szCs w:val="15"/>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pStyle w:val="24"/>
              <w:widowControl/>
              <w:spacing w:line="200" w:lineRule="exact"/>
              <w:ind w:left="150" w:hanging="150" w:hangingChars="1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2、提升城镇基础设施和应急准备能力</w:t>
            </w:r>
            <w:r>
              <w:rPr>
                <w:snapToGrid w:val="0"/>
                <w:kern w:val="0"/>
                <w:sz w:val="15"/>
                <w:szCs w:val="15"/>
                <w:highlight w:val="none"/>
                <w:lang w:val="en-US" w:eastAsia="zh-CN" w:bidi="ar-SA"/>
              </w:rPr>
              <w:br w:type="textWrapping"/>
            </w:r>
            <w:r>
              <w:rPr>
                <w:snapToGrid w:val="0"/>
                <w:kern w:val="0"/>
                <w:sz w:val="15"/>
                <w:szCs w:val="15"/>
                <w:highlight w:val="none"/>
                <w:lang w:val="en-US" w:eastAsia="zh-CN" w:bidi="ar-SA"/>
              </w:rPr>
              <w:t xml:space="preserve"> Upgrading of Priority Urban Infrastructure and Strengthening Emergency Preparedness</w:t>
            </w:r>
          </w:p>
        </w:tc>
        <w:tc>
          <w:tcPr>
            <w:tcW w:w="1588"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487,771,754.12  </w:t>
            </w:r>
          </w:p>
        </w:tc>
        <w:tc>
          <w:tcPr>
            <w:tcW w:w="1106" w:type="dxa"/>
            <w:vAlign w:val="center"/>
          </w:tcPr>
          <w:p>
            <w:pPr>
              <w:pStyle w:val="24"/>
              <w:jc w:val="right"/>
              <w:rPr>
                <w:rFonts w:hint="default"/>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155" w:type="dxa"/>
            <w:vAlign w:val="center"/>
          </w:tcPr>
          <w:p>
            <w:pPr>
              <w:pStyle w:val="24"/>
              <w:jc w:val="right"/>
              <w:rPr>
                <w:rFonts w:hint="default"/>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273" w:type="dxa"/>
            <w:vAlign w:val="center"/>
          </w:tcPr>
          <w:p>
            <w:pPr>
              <w:pStyle w:val="24"/>
              <w:jc w:val="right"/>
              <w:rPr>
                <w:rFonts w:hint="default"/>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155" w:type="dxa"/>
            <w:vAlign w:val="center"/>
          </w:tcPr>
          <w:p>
            <w:pPr>
              <w:pStyle w:val="24"/>
              <w:jc w:val="right"/>
              <w:rPr>
                <w:rFonts w:hint="default"/>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374"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487,771,754.12  </w:t>
            </w:r>
          </w:p>
        </w:tc>
        <w:tc>
          <w:tcPr>
            <w:tcW w:w="1365" w:type="dxa"/>
            <w:vAlign w:val="center"/>
          </w:tcPr>
          <w:p>
            <w:pPr>
              <w:pStyle w:val="24"/>
              <w:jc w:val="right"/>
              <w:rPr>
                <w:snapToGrid w:val="0"/>
                <w:kern w:val="0"/>
                <w:sz w:val="15"/>
                <w:szCs w:val="15"/>
                <w:highlight w:val="none"/>
                <w:lang w:val="en-US" w:eastAsia="zh-CN" w:bidi="ar-SA"/>
              </w:rPr>
            </w:pPr>
            <w:r>
              <w:rPr>
                <w:color w:val="auto"/>
                <w:kern w:val="2"/>
                <w:sz w:val="15"/>
                <w:szCs w:val="15"/>
                <w:highlight w:val="none"/>
                <w:lang w:val="en-US" w:eastAsia="zh-CN" w:bidi="ar-SA"/>
              </w:rPr>
              <w:t xml:space="preserve">- </w:t>
            </w:r>
          </w:p>
        </w:tc>
        <w:tc>
          <w:tcPr>
            <w:tcW w:w="1419" w:type="dxa"/>
            <w:vAlign w:val="center"/>
          </w:tcPr>
          <w:p>
            <w:pPr>
              <w:pStyle w:val="24"/>
              <w:jc w:val="right"/>
              <w:rPr>
                <w:snapToGrid w:val="0"/>
                <w:kern w:val="0"/>
                <w:sz w:val="15"/>
                <w:szCs w:val="15"/>
                <w:highlight w:val="none"/>
                <w:lang w:val="en-US" w:eastAsia="zh-CN" w:bidi="ar-SA"/>
              </w:rPr>
            </w:pPr>
            <w:r>
              <w:rPr>
                <w:color w:val="auto"/>
                <w:kern w:val="2"/>
                <w:sz w:val="15"/>
                <w:szCs w:val="15"/>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pStyle w:val="24"/>
              <w:widowControl/>
              <w:spacing w:line="200" w:lineRule="exact"/>
              <w:ind w:left="150" w:hanging="150" w:hangingChars="1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3、加强石棉县灾害管理和准备能力的技术援助 </w:t>
            </w:r>
            <w:r>
              <w:rPr>
                <w:snapToGrid w:val="0"/>
                <w:kern w:val="0"/>
                <w:sz w:val="15"/>
                <w:szCs w:val="15"/>
                <w:highlight w:val="none"/>
                <w:lang w:val="en-US" w:eastAsia="zh-CN" w:bidi="ar-SA"/>
              </w:rPr>
              <w:br w:type="textWrapping"/>
            </w:r>
            <w:r>
              <w:rPr>
                <w:snapToGrid w:val="0"/>
                <w:kern w:val="0"/>
                <w:sz w:val="15"/>
                <w:szCs w:val="15"/>
                <w:highlight w:val="none"/>
                <w:lang w:val="en-US" w:eastAsia="zh-CN" w:bidi="ar-SA"/>
              </w:rPr>
              <w:t xml:space="preserve"> TA for Strengthening of Disaster Management and Preparedness in Shimian County</w:t>
            </w:r>
          </w:p>
        </w:tc>
        <w:tc>
          <w:tcPr>
            <w:tcW w:w="1588"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190,174.92  </w:t>
            </w:r>
          </w:p>
        </w:tc>
        <w:tc>
          <w:tcPr>
            <w:tcW w:w="1106" w:type="dxa"/>
            <w:vAlign w:val="center"/>
          </w:tcPr>
          <w:p>
            <w:pPr>
              <w:pStyle w:val="24"/>
              <w:jc w:val="right"/>
              <w:rPr>
                <w:rFonts w:hint="default"/>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155" w:type="dxa"/>
            <w:vAlign w:val="center"/>
          </w:tcPr>
          <w:p>
            <w:pPr>
              <w:pStyle w:val="24"/>
              <w:jc w:val="right"/>
              <w:rPr>
                <w:rFonts w:hint="default"/>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273" w:type="dxa"/>
            <w:vAlign w:val="center"/>
          </w:tcPr>
          <w:p>
            <w:pPr>
              <w:pStyle w:val="24"/>
              <w:jc w:val="right"/>
              <w:rPr>
                <w:rFonts w:hint="default"/>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155" w:type="dxa"/>
            <w:vAlign w:val="center"/>
          </w:tcPr>
          <w:p>
            <w:pPr>
              <w:pStyle w:val="24"/>
              <w:jc w:val="right"/>
              <w:rPr>
                <w:rFonts w:hint="default"/>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374"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190,174.92  </w:t>
            </w:r>
          </w:p>
        </w:tc>
        <w:tc>
          <w:tcPr>
            <w:tcW w:w="1365" w:type="dxa"/>
            <w:vAlign w:val="center"/>
          </w:tcPr>
          <w:p>
            <w:pPr>
              <w:pStyle w:val="24"/>
              <w:jc w:val="right"/>
              <w:rPr>
                <w:snapToGrid w:val="0"/>
                <w:kern w:val="0"/>
                <w:sz w:val="15"/>
                <w:szCs w:val="15"/>
                <w:highlight w:val="none"/>
                <w:lang w:val="en-US" w:eastAsia="zh-CN" w:bidi="ar-SA"/>
              </w:rPr>
            </w:pPr>
            <w:r>
              <w:rPr>
                <w:color w:val="auto"/>
                <w:kern w:val="2"/>
                <w:sz w:val="15"/>
                <w:szCs w:val="15"/>
                <w:highlight w:val="none"/>
                <w:lang w:val="en-US" w:eastAsia="zh-CN" w:bidi="ar-SA"/>
              </w:rPr>
              <w:t xml:space="preserve">- </w:t>
            </w:r>
          </w:p>
        </w:tc>
        <w:tc>
          <w:tcPr>
            <w:tcW w:w="1419" w:type="dxa"/>
            <w:vAlign w:val="center"/>
          </w:tcPr>
          <w:p>
            <w:pPr>
              <w:pStyle w:val="24"/>
              <w:jc w:val="right"/>
              <w:rPr>
                <w:snapToGrid w:val="0"/>
                <w:kern w:val="0"/>
                <w:sz w:val="15"/>
                <w:szCs w:val="15"/>
                <w:highlight w:val="none"/>
                <w:lang w:val="en-US" w:eastAsia="zh-CN" w:bidi="ar-SA"/>
              </w:rPr>
            </w:pPr>
            <w:r>
              <w:rPr>
                <w:color w:val="auto"/>
                <w:kern w:val="2"/>
                <w:sz w:val="15"/>
                <w:szCs w:val="15"/>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pStyle w:val="24"/>
              <w:widowControl/>
              <w:spacing w:line="200" w:lineRule="exact"/>
              <w:ind w:left="150" w:hanging="150" w:hangingChars="100"/>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4、项目管理和能力建设</w:t>
            </w:r>
            <w:r>
              <w:rPr>
                <w:snapToGrid w:val="0"/>
                <w:kern w:val="0"/>
                <w:sz w:val="15"/>
                <w:szCs w:val="15"/>
                <w:highlight w:val="none"/>
                <w:lang w:val="en-US" w:eastAsia="zh-CN" w:bidi="ar-SA"/>
              </w:rPr>
              <w:br w:type="textWrapping"/>
            </w:r>
            <w:r>
              <w:rPr>
                <w:snapToGrid w:val="0"/>
                <w:kern w:val="0"/>
                <w:sz w:val="15"/>
                <w:szCs w:val="15"/>
                <w:highlight w:val="none"/>
                <w:lang w:val="en-US" w:eastAsia="zh-CN" w:bidi="ar-SA"/>
              </w:rPr>
              <w:t xml:space="preserve">    Project Management and Capacity Building</w:t>
            </w:r>
          </w:p>
        </w:tc>
        <w:tc>
          <w:tcPr>
            <w:tcW w:w="1588"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50,393,937.01  </w:t>
            </w:r>
          </w:p>
        </w:tc>
        <w:tc>
          <w:tcPr>
            <w:tcW w:w="1106" w:type="dxa"/>
            <w:vAlign w:val="center"/>
          </w:tcPr>
          <w:p>
            <w:pPr>
              <w:pStyle w:val="24"/>
              <w:jc w:val="right"/>
              <w:rPr>
                <w:rFonts w:hint="default"/>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155" w:type="dxa"/>
            <w:vAlign w:val="center"/>
          </w:tcPr>
          <w:p>
            <w:pPr>
              <w:pStyle w:val="24"/>
              <w:jc w:val="right"/>
              <w:rPr>
                <w:rFonts w:hint="default"/>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273" w:type="dxa"/>
            <w:vAlign w:val="center"/>
          </w:tcPr>
          <w:p>
            <w:pPr>
              <w:pStyle w:val="24"/>
              <w:jc w:val="right"/>
              <w:rPr>
                <w:rFonts w:hint="default"/>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155" w:type="dxa"/>
            <w:vAlign w:val="center"/>
          </w:tcPr>
          <w:p>
            <w:pPr>
              <w:pStyle w:val="24"/>
              <w:jc w:val="right"/>
              <w:rPr>
                <w:rFonts w:hint="default"/>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374"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50,393,937.01  </w:t>
            </w:r>
          </w:p>
        </w:tc>
        <w:tc>
          <w:tcPr>
            <w:tcW w:w="1365" w:type="dxa"/>
            <w:vAlign w:val="center"/>
          </w:tcPr>
          <w:p>
            <w:pPr>
              <w:pStyle w:val="24"/>
              <w:jc w:val="right"/>
              <w:rPr>
                <w:snapToGrid w:val="0"/>
                <w:kern w:val="0"/>
                <w:sz w:val="15"/>
                <w:szCs w:val="15"/>
                <w:highlight w:val="none"/>
                <w:lang w:val="en-US" w:eastAsia="zh-CN" w:bidi="ar-SA"/>
              </w:rPr>
            </w:pPr>
            <w:r>
              <w:rPr>
                <w:color w:val="auto"/>
                <w:kern w:val="2"/>
                <w:sz w:val="15"/>
                <w:szCs w:val="15"/>
                <w:highlight w:val="none"/>
                <w:lang w:val="en-US" w:eastAsia="zh-CN" w:bidi="ar-SA"/>
              </w:rPr>
              <w:t xml:space="preserve">- </w:t>
            </w:r>
          </w:p>
        </w:tc>
        <w:tc>
          <w:tcPr>
            <w:tcW w:w="1419" w:type="dxa"/>
            <w:vAlign w:val="center"/>
          </w:tcPr>
          <w:p>
            <w:pPr>
              <w:pStyle w:val="24"/>
              <w:jc w:val="right"/>
              <w:rPr>
                <w:snapToGrid w:val="0"/>
                <w:kern w:val="0"/>
                <w:sz w:val="15"/>
                <w:szCs w:val="15"/>
                <w:highlight w:val="none"/>
                <w:lang w:val="en-US" w:eastAsia="zh-CN" w:bidi="ar-SA"/>
              </w:rPr>
            </w:pPr>
            <w:r>
              <w:rPr>
                <w:color w:val="auto"/>
                <w:kern w:val="2"/>
                <w:sz w:val="15"/>
                <w:szCs w:val="15"/>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合计</w:t>
            </w:r>
          </w:p>
          <w:p>
            <w:pPr>
              <w:pStyle w:val="24"/>
              <w:widowControl/>
              <w:spacing w:line="200"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Total</w:t>
            </w:r>
          </w:p>
        </w:tc>
        <w:tc>
          <w:tcPr>
            <w:tcW w:w="1588" w:type="dxa"/>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 xml:space="preserve">  538,355,866.05  </w:t>
            </w:r>
          </w:p>
        </w:tc>
        <w:tc>
          <w:tcPr>
            <w:tcW w:w="1106" w:type="dxa"/>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155" w:type="dxa"/>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273" w:type="dxa"/>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155" w:type="dxa"/>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374" w:type="dxa"/>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 xml:space="preserve">  538,355,866.05  </w:t>
            </w:r>
          </w:p>
        </w:tc>
        <w:tc>
          <w:tcPr>
            <w:tcW w:w="1365" w:type="dxa"/>
            <w:vAlign w:val="center"/>
          </w:tcPr>
          <w:p>
            <w:pPr>
              <w:pStyle w:val="29"/>
              <w:rPr>
                <w:rFonts w:eastAsia="Times New Roman"/>
                <w:bCs/>
                <w:snapToGrid w:val="0"/>
                <w:color w:val="auto"/>
                <w:kern w:val="0"/>
                <w:sz w:val="15"/>
                <w:szCs w:val="15"/>
                <w:highlight w:val="none"/>
                <w:lang w:val="en-US" w:eastAsia="zh-CN" w:bidi="ar-SA"/>
              </w:rPr>
            </w:pPr>
            <w:r>
              <w:rPr>
                <w:color w:val="auto"/>
                <w:kern w:val="2"/>
                <w:sz w:val="15"/>
                <w:szCs w:val="15"/>
                <w:highlight w:val="none"/>
                <w:lang w:val="en-US" w:eastAsia="zh-CN" w:bidi="ar-SA"/>
              </w:rPr>
              <w:t xml:space="preserve">- </w:t>
            </w:r>
          </w:p>
        </w:tc>
        <w:tc>
          <w:tcPr>
            <w:tcW w:w="1419" w:type="dxa"/>
            <w:vAlign w:val="center"/>
          </w:tcPr>
          <w:p>
            <w:pPr>
              <w:pStyle w:val="29"/>
              <w:rPr>
                <w:rFonts w:eastAsia="Times New Roman"/>
                <w:bCs/>
                <w:snapToGrid w:val="0"/>
                <w:color w:val="auto"/>
                <w:kern w:val="0"/>
                <w:sz w:val="15"/>
                <w:szCs w:val="15"/>
                <w:highlight w:val="none"/>
                <w:lang w:val="en-US" w:eastAsia="zh-CN" w:bidi="ar-SA"/>
              </w:rPr>
            </w:pPr>
            <w:r>
              <w:rPr>
                <w:color w:val="auto"/>
                <w:kern w:val="2"/>
                <w:sz w:val="15"/>
                <w:szCs w:val="15"/>
                <w:highlight w:val="none"/>
                <w:lang w:val="en-US" w:eastAsia="zh-CN" w:bidi="ar-SA"/>
              </w:rPr>
              <w:t xml:space="preserve">- </w:t>
            </w:r>
          </w:p>
        </w:tc>
      </w:tr>
    </w:tbl>
    <w:p>
      <w:pPr>
        <w:pStyle w:val="20"/>
        <w:rPr>
          <w:rFonts w:ascii="Times New Roman" w:eastAsia="仿宋_GB2312"/>
          <w:b w:val="0"/>
          <w:bCs w:val="0"/>
          <w:snapToGrid w:val="0"/>
          <w:kern w:val="0"/>
          <w:sz w:val="28"/>
          <w:szCs w:val="30"/>
          <w:highlight w:val="none"/>
          <w:lang w:val="en-US" w:eastAsia="zh-CN" w:bidi="ar-SA"/>
        </w:rPr>
      </w:pPr>
      <w:r>
        <w:rPr>
          <w:rFonts w:ascii="Times New Roman" w:eastAsia="仿宋_GB2312"/>
          <w:b w:val="0"/>
          <w:bCs w:val="0"/>
          <w:snapToGrid w:val="0"/>
          <w:kern w:val="0"/>
          <w:sz w:val="28"/>
          <w:szCs w:val="30"/>
          <w:highlight w:val="none"/>
          <w:lang w:val="en-US" w:eastAsia="zh-CN" w:bidi="ar-SA"/>
        </w:rPr>
        <w:br w:type="page"/>
      </w:r>
      <w:bookmarkStart w:id="7" w:name="_Toc516757257"/>
      <w:r>
        <w:rPr>
          <w:rFonts w:ascii="Times New Roman" w:eastAsia="仿宋_GB2312"/>
          <w:b w:val="0"/>
          <w:bCs w:val="0"/>
          <w:snapToGrid w:val="0"/>
          <w:kern w:val="0"/>
          <w:sz w:val="28"/>
          <w:szCs w:val="30"/>
          <w:highlight w:val="none"/>
          <w:lang w:val="en-US" w:eastAsia="zh-CN" w:bidi="ar-SA"/>
        </w:rPr>
        <w:t>（三）贷款协定执行情况表</w:t>
      </w:r>
      <w:bookmarkEnd w:id="7"/>
    </w:p>
    <w:p>
      <w:pPr>
        <w:pStyle w:val="23"/>
        <w:rPr>
          <w:rFonts w:eastAsia="Times New Roman" w:cs="Times New Roman"/>
          <w:b/>
          <w:bCs/>
          <w:snapToGrid w:val="0"/>
          <w:color w:val="auto"/>
          <w:kern w:val="0"/>
          <w:sz w:val="28"/>
          <w:szCs w:val="30"/>
          <w:highlight w:val="none"/>
          <w:lang w:val="en-GB" w:eastAsia="zh-CN" w:bidi="ar-SA"/>
        </w:rPr>
      </w:pPr>
      <w:bookmarkStart w:id="8" w:name="_Toc516757258"/>
      <w:r>
        <w:rPr>
          <w:rFonts w:eastAsia="Times New Roman" w:cs="Times New Roman"/>
          <w:b/>
          <w:bCs/>
          <w:snapToGrid w:val="0"/>
          <w:color w:val="auto"/>
          <w:kern w:val="0"/>
          <w:sz w:val="28"/>
          <w:szCs w:val="28"/>
          <w:highlight w:val="none"/>
          <w:lang w:val="en-GB" w:eastAsia="zh-CN" w:bidi="ar-SA"/>
        </w:rPr>
        <w:t>ii</w:t>
      </w:r>
      <w:r>
        <w:rPr>
          <w:rFonts w:eastAsia="Times New Roman" w:cs="Times New Roman"/>
          <w:b/>
          <w:bCs/>
          <w:snapToGrid w:val="0"/>
          <w:color w:val="auto"/>
          <w:kern w:val="0"/>
          <w:sz w:val="28"/>
          <w:szCs w:val="30"/>
          <w:highlight w:val="none"/>
          <w:lang w:val="en-GB" w:eastAsia="zh-CN" w:bidi="ar-SA"/>
        </w:rPr>
        <w:t>i. Statement of Implementation of Loan Agreement</w:t>
      </w:r>
      <w:bookmarkEnd w:id="8"/>
    </w:p>
    <w:p>
      <w:pPr>
        <w:pStyle w:val="25"/>
        <w:rPr>
          <w:rFonts w:eastAsia="仿宋_GB2312"/>
          <w:b/>
          <w:snapToGrid w:val="0"/>
          <w:kern w:val="0"/>
          <w:sz w:val="32"/>
          <w:szCs w:val="32"/>
          <w:highlight w:val="none"/>
          <w:lang w:val="en-GB" w:eastAsia="zh-CN" w:bidi="ar-SA"/>
        </w:rPr>
      </w:pPr>
      <w:r>
        <w:rPr>
          <w:rFonts w:eastAsia="仿宋_GB2312"/>
          <w:b/>
          <w:bCs/>
          <w:snapToGrid w:val="0"/>
          <w:kern w:val="0"/>
          <w:sz w:val="32"/>
          <w:szCs w:val="32"/>
          <w:highlight w:val="none"/>
          <w:lang w:val="en-GB" w:eastAsia="zh-CN" w:bidi="ar-SA"/>
        </w:rPr>
        <w:t>贷 款 协 定 执 行 情 况 表</w:t>
      </w:r>
    </w:p>
    <w:p>
      <w:pPr>
        <w:pStyle w:val="27"/>
        <w:rPr>
          <w:b/>
          <w:bCs/>
          <w:snapToGrid w:val="0"/>
          <w:kern w:val="0"/>
          <w:sz w:val="32"/>
          <w:szCs w:val="32"/>
          <w:highlight w:val="none"/>
          <w:lang w:val="en-US" w:eastAsia="zh-CN" w:bidi="ar-SA"/>
        </w:rPr>
      </w:pPr>
      <w:r>
        <w:rPr>
          <w:b/>
          <w:bCs/>
          <w:snapToGrid w:val="0"/>
          <w:kern w:val="0"/>
          <w:sz w:val="32"/>
          <w:szCs w:val="32"/>
          <w:highlight w:val="none"/>
          <w:lang w:val="en-US" w:eastAsia="zh-CN" w:bidi="ar-SA"/>
        </w:rPr>
        <w:t>STATEMENT OF IMPLEMENTATION OF LOAN AGREEMENT</w:t>
      </w:r>
    </w:p>
    <w:p>
      <w:pPr>
        <w:pStyle w:val="28"/>
        <w:rPr>
          <w:rFonts w:eastAsia="仿宋_GB2312"/>
          <w:snapToGrid w:val="0"/>
          <w:kern w:val="0"/>
          <w:sz w:val="21"/>
          <w:szCs w:val="28"/>
          <w:highlight w:val="none"/>
          <w:lang w:val="en-GB" w:eastAsia="zh-CN" w:bidi="ar-SA"/>
        </w:rPr>
      </w:pPr>
      <w:r>
        <w:rPr>
          <w:rFonts w:eastAsia="仿宋_GB2312"/>
          <w:snapToGrid w:val="0"/>
          <w:kern w:val="0"/>
          <w:sz w:val="21"/>
          <w:szCs w:val="28"/>
          <w:highlight w:val="none"/>
          <w:lang w:val="en-GB" w:eastAsia="zh-CN" w:bidi="ar-SA"/>
        </w:rPr>
        <w:t>本期截</w:t>
      </w:r>
      <w:r>
        <w:rPr>
          <w:rFonts w:eastAsia="仿宋_GB2312"/>
          <w:snapToGrid w:val="0"/>
          <w:kern w:val="0"/>
          <w:sz w:val="21"/>
          <w:szCs w:val="21"/>
          <w:highlight w:val="none"/>
          <w:lang w:val="en-GB" w:eastAsia="zh-CN" w:bidi="ar-SA"/>
        </w:rPr>
        <w:t>至</w:t>
      </w:r>
      <w:r>
        <w:rPr>
          <w:rFonts w:hint="eastAsia" w:eastAsia="仿宋_GB2312"/>
          <w:snapToGrid w:val="0"/>
          <w:kern w:val="0"/>
          <w:sz w:val="21"/>
          <w:szCs w:val="28"/>
          <w:highlight w:val="none"/>
          <w:lang w:val="en-GB" w:eastAsia="zh-CN" w:bidi="ar-SA"/>
        </w:rPr>
        <w:t>201</w:t>
      </w:r>
      <w:r>
        <w:rPr>
          <w:rFonts w:hint="eastAsia" w:eastAsia="仿宋_GB2312"/>
          <w:snapToGrid w:val="0"/>
          <w:kern w:val="0"/>
          <w:sz w:val="21"/>
          <w:szCs w:val="28"/>
          <w:highlight w:val="none"/>
          <w:lang w:val="en-US" w:eastAsia="zh-CN" w:bidi="ar-SA"/>
        </w:rPr>
        <w:t>9</w:t>
      </w:r>
      <w:r>
        <w:rPr>
          <w:rFonts w:eastAsia="仿宋_GB2312"/>
          <w:snapToGrid w:val="0"/>
          <w:kern w:val="0"/>
          <w:sz w:val="21"/>
          <w:szCs w:val="21"/>
          <w:highlight w:val="none"/>
          <w:lang w:val="en-GB" w:eastAsia="zh-CN" w:bidi="ar-SA"/>
        </w:rPr>
        <w:t xml:space="preserve">年12月31日 </w:t>
      </w:r>
    </w:p>
    <w:p>
      <w:pPr>
        <w:pStyle w:val="28"/>
        <w:rPr>
          <w:rFonts w:eastAsia="仿宋_GB2312"/>
          <w:snapToGrid w:val="0"/>
          <w:kern w:val="0"/>
          <w:sz w:val="21"/>
          <w:szCs w:val="28"/>
          <w:highlight w:val="none"/>
          <w:lang w:val="en-GB" w:eastAsia="zh-CN" w:bidi="ar-SA"/>
        </w:rPr>
      </w:pPr>
      <w:r>
        <w:rPr>
          <w:rFonts w:eastAsia="仿宋_GB2312"/>
          <w:snapToGrid w:val="0"/>
          <w:kern w:val="0"/>
          <w:sz w:val="21"/>
          <w:szCs w:val="28"/>
          <w:highlight w:val="none"/>
          <w:lang w:val="en-GB" w:eastAsia="zh-CN" w:bidi="ar-SA"/>
        </w:rPr>
        <w:t xml:space="preserve">(For the period ended December 31, </w:t>
      </w:r>
      <w:r>
        <w:rPr>
          <w:rFonts w:hint="eastAsia" w:eastAsia="仿宋_GB2312"/>
          <w:snapToGrid w:val="0"/>
          <w:kern w:val="0"/>
          <w:sz w:val="21"/>
          <w:szCs w:val="28"/>
          <w:highlight w:val="none"/>
          <w:lang w:val="en-GB" w:eastAsia="zh-CN" w:bidi="ar-SA"/>
        </w:rPr>
        <w:t>201</w:t>
      </w:r>
      <w:r>
        <w:rPr>
          <w:rFonts w:hint="eastAsia" w:eastAsia="仿宋_GB2312"/>
          <w:snapToGrid w:val="0"/>
          <w:kern w:val="0"/>
          <w:sz w:val="21"/>
          <w:szCs w:val="28"/>
          <w:highlight w:val="none"/>
          <w:lang w:val="en-US" w:eastAsia="zh-CN" w:bidi="ar-SA"/>
        </w:rPr>
        <w:t>9</w:t>
      </w:r>
      <w:r>
        <w:rPr>
          <w:rFonts w:eastAsia="仿宋_GB2312"/>
          <w:snapToGrid w:val="0"/>
          <w:kern w:val="0"/>
          <w:sz w:val="21"/>
          <w:szCs w:val="28"/>
          <w:highlight w:val="none"/>
          <w:lang w:val="en-GB" w:eastAsia="zh-CN" w:bidi="ar-SA"/>
        </w:rPr>
        <w:t>）</w:t>
      </w:r>
    </w:p>
    <w:p>
      <w:pPr>
        <w:pStyle w:val="28"/>
        <w:rPr>
          <w:rFonts w:eastAsia="仿宋_GB2312"/>
          <w:snapToGrid w:val="0"/>
          <w:kern w:val="0"/>
          <w:sz w:val="21"/>
          <w:szCs w:val="28"/>
          <w:highlight w:val="none"/>
          <w:lang w:val="en-GB" w:eastAsia="zh-CN" w:bidi="ar-SA"/>
        </w:rPr>
      </w:pPr>
    </w:p>
    <w:p>
      <w:pPr>
        <w:pStyle w:val="24"/>
        <w:snapToGrid w:val="0"/>
        <w:spacing w:line="120" w:lineRule="atLeast"/>
        <w:ind w:leftChars="-7" w:right="-1784" w:hanging="14" w:hangingChars="7"/>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项目名称：世界银行贷款</w:t>
      </w:r>
      <w:r>
        <w:rPr>
          <w:rFonts w:hint="eastAsia" w:eastAsia="仿宋_GB2312"/>
          <w:snapToGrid w:val="0"/>
          <w:kern w:val="0"/>
          <w:sz w:val="21"/>
          <w:highlight w:val="none"/>
          <w:lang w:val="en-US" w:eastAsia="zh-CN" w:bidi="ar-SA"/>
        </w:rPr>
        <w:t>芦山</w:t>
      </w:r>
      <w:r>
        <w:rPr>
          <w:rFonts w:eastAsia="仿宋_GB2312"/>
          <w:snapToGrid w:val="0"/>
          <w:kern w:val="0"/>
          <w:sz w:val="21"/>
          <w:highlight w:val="none"/>
          <w:lang w:val="en-US" w:eastAsia="zh-CN" w:bidi="ar-SA"/>
        </w:rPr>
        <w:t>地震</w:t>
      </w:r>
      <w:r>
        <w:rPr>
          <w:rFonts w:hint="eastAsia" w:eastAsia="仿宋_GB2312"/>
          <w:snapToGrid w:val="0"/>
          <w:kern w:val="0"/>
          <w:sz w:val="21"/>
          <w:highlight w:val="none"/>
          <w:lang w:val="en-US" w:eastAsia="zh-CN" w:bidi="ar-SA"/>
        </w:rPr>
        <w:t>灾后恢复重建项目</w:t>
      </w:r>
      <w:r>
        <w:rPr>
          <w:rFonts w:eastAsia="仿宋_GB2312"/>
          <w:snapToGrid w:val="0"/>
          <w:kern w:val="0"/>
          <w:sz w:val="21"/>
          <w:highlight w:val="none"/>
          <w:lang w:val="en-US" w:eastAsia="zh-CN" w:bidi="ar-SA"/>
        </w:rPr>
        <w:t>-城建子项目</w:t>
      </w:r>
    </w:p>
    <w:p>
      <w:pPr>
        <w:pStyle w:val="24"/>
        <w:snapToGrid w:val="0"/>
        <w:spacing w:line="120" w:lineRule="atLeast"/>
        <w:ind w:leftChars="-207" w:right="-1784" w:hanging="434" w:hangingChars="207"/>
        <w:rPr>
          <w:rFonts w:eastAsia="仿宋_GB2312"/>
          <w:snapToGrid w:val="0"/>
          <w:kern w:val="0"/>
          <w:sz w:val="21"/>
          <w:highlight w:val="none"/>
          <w:lang w:val="en-US" w:eastAsia="zh-CN" w:bidi="ar-SA"/>
        </w:rPr>
      </w:pPr>
      <w:r>
        <w:rPr>
          <w:rFonts w:hint="eastAsia" w:eastAsia="仿宋_GB2312"/>
          <w:snapToGrid w:val="0"/>
          <w:kern w:val="0"/>
          <w:sz w:val="21"/>
          <w:highlight w:val="none"/>
          <w:lang w:val="en-US" w:eastAsia="zh-CN" w:bidi="ar-SA"/>
        </w:rPr>
        <w:t xml:space="preserve">    </w:t>
      </w:r>
      <w:r>
        <w:rPr>
          <w:rFonts w:eastAsia="仿宋_GB2312"/>
          <w:snapToGrid w:val="0"/>
          <w:kern w:val="0"/>
          <w:sz w:val="21"/>
          <w:highlight w:val="none"/>
          <w:lang w:val="en-US" w:eastAsia="zh-CN" w:bidi="ar-SA"/>
        </w:rPr>
        <w:t>Project Name: Lushan Earthquake Recovery and Reconstruction Project Financed by World Bank - Urban Construction Subproject</w:t>
      </w:r>
    </w:p>
    <w:p>
      <w:pPr>
        <w:pStyle w:val="24"/>
        <w:snapToGrid w:val="0"/>
        <w:spacing w:line="120" w:lineRule="atLeast"/>
        <w:ind w:left="-434" w:leftChars="-207" w:right="-1784" w:firstLine="420" w:firstLineChars="200"/>
        <w:jc w:val="left"/>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编报单位：四川省人民政府水资源规划城建环保项目领导小组办公室                                        货币单</w:t>
      </w:r>
      <w:r>
        <w:rPr>
          <w:rFonts w:eastAsia="仿宋_GB2312"/>
          <w:snapToGrid w:val="0"/>
          <w:kern w:val="0"/>
          <w:sz w:val="21"/>
          <w:szCs w:val="21"/>
          <w:highlight w:val="none"/>
          <w:lang w:val="en-US" w:eastAsia="zh-CN" w:bidi="ar-SA"/>
        </w:rPr>
        <w:t>位：人民币元</w:t>
      </w:r>
    </w:p>
    <w:p>
      <w:pPr>
        <w:pStyle w:val="24"/>
        <w:snapToGrid w:val="0"/>
        <w:spacing w:line="120" w:lineRule="atLeast"/>
        <w:ind w:leftChars="-7" w:right="-1784" w:hanging="14" w:hangingChars="7"/>
        <w:rPr>
          <w:rFonts w:eastAsia="仿宋_GB2312"/>
          <w:snapToGrid w:val="0"/>
          <w:kern w:val="0"/>
          <w:sz w:val="18"/>
          <w:highlight w:val="none"/>
          <w:lang w:val="en-US" w:eastAsia="zh-CN" w:bidi="ar-SA"/>
        </w:rPr>
      </w:pPr>
      <w:r>
        <w:rPr>
          <w:snapToGrid w:val="0"/>
          <w:kern w:val="0"/>
          <w:sz w:val="21"/>
          <w:highlight w:val="none"/>
          <w:lang w:val="en-US" w:eastAsia="zh-CN" w:bidi="ar-SA"/>
        </w:rPr>
        <w:t xml:space="preserve">Prepared by: Sichuan Urban Environment Project Office          </w:t>
      </w:r>
      <w:r>
        <w:rPr>
          <w:snapToGrid w:val="0"/>
          <w:kern w:val="0"/>
          <w:sz w:val="18"/>
          <w:highlight w:val="none"/>
          <w:lang w:val="en-US" w:eastAsia="zh-CN" w:bidi="ar-SA"/>
        </w:rPr>
        <w:t xml:space="preserve">                                                    </w:t>
      </w:r>
      <w:r>
        <w:rPr>
          <w:snapToGrid w:val="0"/>
          <w:kern w:val="0"/>
          <w:sz w:val="21"/>
          <w:szCs w:val="21"/>
          <w:highlight w:val="none"/>
          <w:lang w:val="en-US" w:eastAsia="zh-CN" w:bidi="ar-SA"/>
        </w:rPr>
        <w:t>Currency Unit: RMB Yuan</w:t>
      </w:r>
    </w:p>
    <w:tbl>
      <w:tblPr>
        <w:tblStyle w:val="6"/>
        <w:tblW w:w="13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7050"/>
        <w:gridCol w:w="1640"/>
        <w:gridCol w:w="1325"/>
        <w:gridCol w:w="1338"/>
        <w:gridCol w:w="1300"/>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301" w:hRule="atLeast"/>
          <w:tblHeader/>
        </w:trPr>
        <w:tc>
          <w:tcPr>
            <w:tcW w:w="7050" w:type="dxa"/>
            <w:vMerge w:val="restart"/>
            <w:tcBorders>
              <w:top w:val="single" w:color="auto" w:sz="6" w:space="0"/>
              <w:left w:val="single" w:color="auto" w:sz="6" w:space="0"/>
              <w:right w:val="single" w:color="auto" w:sz="6" w:space="0"/>
            </w:tcBorders>
            <w:vAlign w:val="center"/>
          </w:tcPr>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类            别</w:t>
            </w:r>
          </w:p>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Category</w:t>
            </w:r>
          </w:p>
        </w:tc>
        <w:tc>
          <w:tcPr>
            <w:tcW w:w="1640" w:type="dxa"/>
            <w:vMerge w:val="restart"/>
            <w:tcBorders>
              <w:top w:val="single" w:color="auto" w:sz="6" w:space="0"/>
              <w:left w:val="single" w:color="auto" w:sz="6" w:space="0"/>
              <w:right w:val="single" w:color="auto" w:sz="6" w:space="0"/>
            </w:tcBorders>
            <w:vAlign w:val="center"/>
          </w:tcPr>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核定贷款金额</w:t>
            </w:r>
          </w:p>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Loan Amount</w:t>
            </w:r>
          </w:p>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美元</w:t>
            </w:r>
          </w:p>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USD</w:t>
            </w:r>
          </w:p>
        </w:tc>
        <w:tc>
          <w:tcPr>
            <w:tcW w:w="2663" w:type="dxa"/>
            <w:gridSpan w:val="2"/>
            <w:tcBorders>
              <w:top w:val="single" w:color="auto" w:sz="6" w:space="0"/>
              <w:left w:val="single" w:color="auto" w:sz="6" w:space="0"/>
              <w:bottom w:val="single" w:color="auto" w:sz="6" w:space="0"/>
              <w:right w:val="single" w:color="auto" w:sz="6" w:space="0"/>
            </w:tcBorders>
            <w:vAlign w:val="center"/>
          </w:tcPr>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本年度提款数</w:t>
            </w:r>
          </w:p>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Current-period Withdrawals</w:t>
            </w:r>
          </w:p>
        </w:tc>
        <w:tc>
          <w:tcPr>
            <w:tcW w:w="2512" w:type="dxa"/>
            <w:gridSpan w:val="2"/>
            <w:tcBorders>
              <w:top w:val="single" w:color="auto" w:sz="6" w:space="0"/>
              <w:left w:val="single" w:color="auto" w:sz="6" w:space="0"/>
              <w:bottom w:val="single" w:color="auto" w:sz="6" w:space="0"/>
              <w:right w:val="single" w:color="auto" w:sz="6" w:space="0"/>
            </w:tcBorders>
            <w:vAlign w:val="center"/>
          </w:tcPr>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累计提款数</w:t>
            </w:r>
          </w:p>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Cumulative Withdrawals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164" w:hRule="atLeast"/>
          <w:tblHeader/>
        </w:trPr>
        <w:tc>
          <w:tcPr>
            <w:tcW w:w="7050" w:type="dxa"/>
            <w:vMerge w:val="continue"/>
            <w:tcBorders>
              <w:left w:val="single" w:color="auto" w:sz="6" w:space="0"/>
              <w:bottom w:val="single" w:color="auto" w:sz="6" w:space="0"/>
              <w:right w:val="single" w:color="auto" w:sz="6" w:space="0"/>
            </w:tcBorders>
            <w:vAlign w:val="center"/>
          </w:tcPr>
          <w:p>
            <w:pPr>
              <w:pStyle w:val="24"/>
              <w:autoSpaceDE w:val="0"/>
              <w:autoSpaceDN w:val="0"/>
              <w:adjustRightInd w:val="0"/>
              <w:spacing w:line="400" w:lineRule="exact"/>
              <w:jc w:val="center"/>
              <w:rPr>
                <w:bCs/>
                <w:snapToGrid w:val="0"/>
                <w:kern w:val="0"/>
                <w:sz w:val="15"/>
                <w:highlight w:val="none"/>
                <w:lang w:val="en-US" w:eastAsia="zh-CN" w:bidi="ar-SA"/>
              </w:rPr>
            </w:pPr>
          </w:p>
        </w:tc>
        <w:tc>
          <w:tcPr>
            <w:tcW w:w="1640" w:type="dxa"/>
            <w:vMerge w:val="continue"/>
            <w:tcBorders>
              <w:left w:val="single" w:color="auto" w:sz="6" w:space="0"/>
              <w:bottom w:val="single" w:color="auto" w:sz="6" w:space="0"/>
              <w:right w:val="single" w:color="auto" w:sz="6" w:space="0"/>
            </w:tcBorders>
            <w:vAlign w:val="center"/>
          </w:tcPr>
          <w:p>
            <w:pPr>
              <w:pStyle w:val="24"/>
              <w:autoSpaceDE w:val="0"/>
              <w:autoSpaceDN w:val="0"/>
              <w:adjustRightInd w:val="0"/>
              <w:spacing w:line="400" w:lineRule="exact"/>
              <w:jc w:val="center"/>
              <w:rPr>
                <w:bCs/>
                <w:snapToGrid w:val="0"/>
                <w:kern w:val="0"/>
                <w:sz w:val="15"/>
                <w:highlight w:val="none"/>
                <w:lang w:val="en-US" w:eastAsia="zh-CN" w:bidi="ar-SA"/>
              </w:rPr>
            </w:pPr>
          </w:p>
        </w:tc>
        <w:tc>
          <w:tcPr>
            <w:tcW w:w="1325" w:type="dxa"/>
            <w:tcBorders>
              <w:top w:val="single" w:color="auto" w:sz="6" w:space="0"/>
              <w:left w:val="single" w:color="auto" w:sz="6" w:space="0"/>
              <w:bottom w:val="single" w:color="auto" w:sz="6" w:space="0"/>
              <w:right w:val="single" w:color="auto" w:sz="6" w:space="0"/>
            </w:tcBorders>
            <w:vAlign w:val="center"/>
          </w:tcPr>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美元</w:t>
            </w:r>
          </w:p>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USD</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折合人民币</w:t>
            </w:r>
          </w:p>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RMB</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美元</w:t>
            </w:r>
          </w:p>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USD</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折合人民币</w:t>
            </w:r>
          </w:p>
          <w:p>
            <w:pPr>
              <w:pStyle w:val="24"/>
              <w:autoSpaceDE w:val="0"/>
              <w:autoSpaceDN w:val="0"/>
              <w:adjustRightInd w:val="0"/>
              <w:spacing w:line="400" w:lineRule="exact"/>
              <w:jc w:val="center"/>
              <w:rPr>
                <w:bCs/>
                <w:snapToGrid w:val="0"/>
                <w:kern w:val="0"/>
                <w:sz w:val="15"/>
                <w:highlight w:val="none"/>
                <w:lang w:val="en-US" w:eastAsia="zh-CN" w:bidi="ar-SA"/>
              </w:rPr>
            </w:pPr>
            <w:r>
              <w:rPr>
                <w:snapToGrid w:val="0"/>
                <w:kern w:val="0"/>
                <w:sz w:val="15"/>
                <w:highlight w:val="none"/>
                <w:lang w:val="en-US" w:eastAsia="zh-CN" w:bidi="ar-SA"/>
              </w:rPr>
              <w:t>RMB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1. 基础设施项目货物、工程、咨询、培训及研讨会等 </w:t>
            </w:r>
            <w:r>
              <w:rPr>
                <w:snapToGrid w:val="0"/>
                <w:kern w:val="0"/>
                <w:sz w:val="15"/>
                <w:szCs w:val="15"/>
                <w:highlight w:val="none"/>
                <w:lang w:val="en-US" w:eastAsia="zh-CN" w:bidi="ar-SA"/>
              </w:rPr>
              <w:br w:type="textWrapping"/>
            </w:r>
            <w:r>
              <w:rPr>
                <w:snapToGrid w:val="0"/>
                <w:kern w:val="0"/>
                <w:sz w:val="15"/>
                <w:szCs w:val="15"/>
                <w:highlight w:val="none"/>
                <w:lang w:val="en-US" w:eastAsia="zh-CN" w:bidi="ar-SA"/>
              </w:rPr>
              <w:t xml:space="preserve">    Goods,works,consultants'services,Training and Workshops for the Urban Infrastructure</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269,325,000.00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52,214,875.45</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364,261,414.13</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53,554,960.70</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373,610,116.85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90"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其中： (1) 雨城区子项目 Yucheng District Component</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47,880,000.00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12,539,116.47</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87,475,384.32</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12,539,116.47</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87,475,384.32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(2) 名山区子项目 Mingshan District Component</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29,925,000.00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4,616,862.99</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32,208,159.59</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4,616,862.99</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32,208,159.59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78"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(3) 芦山县子项目 Lushan County Component</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39,900,000.00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9,762,626.57</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68,106,035.48</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10,124,448.58</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70,630,178.18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348"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(4) 天全县子项目 Tianquan County Component</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38,902,500.00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5,916,744.71</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41,276,394.45</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5,916,744.71</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41,276,394.45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(5) 宝兴县子项目 Baoxing County Component</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30,922,500.00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5,119,670.89</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35,715,848.06</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5,400,082.95</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37,672,058.68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(6) 荥经县子项目 Yingjing County Component</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25,935,000.00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rFonts w:hint="default"/>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2,007,282.52</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rFonts w:hint="default"/>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14,003,204.32</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rFonts w:hint="default"/>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2,242,466.83</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rFonts w:hint="default"/>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15,643,897.10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(7) 石棉县子项目 Shimian County Component</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55,860,000.00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rFonts w:hint="default"/>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12,252,571.30</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rFonts w:hint="default"/>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85,476,387.91</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rFonts w:hint="default"/>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12,715,238.17</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rFonts w:hint="default"/>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88,704,044.53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90"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2. 农村公路项目货物、工程、咨询、培训及研讨会等  </w:t>
            </w:r>
          </w:p>
          <w:p>
            <w:pPr>
              <w:pStyle w:val="24"/>
              <w:ind w:firstLine="75" w:firstLineChars="50"/>
              <w:jc w:val="left"/>
              <w:rPr>
                <w:snapToGrid w:val="0"/>
                <w:kern w:val="0"/>
                <w:sz w:val="15"/>
                <w:szCs w:val="15"/>
                <w:highlight w:val="none"/>
                <w:lang w:val="en-US" w:eastAsia="zh-CN" w:bidi="ar-SA"/>
              </w:rPr>
            </w:pPr>
            <w:r>
              <w:rPr>
                <w:snapToGrid w:val="0"/>
                <w:kern w:val="0"/>
                <w:sz w:val="15"/>
                <w:szCs w:val="15"/>
                <w:highlight w:val="none"/>
                <w:lang w:val="en-US" w:eastAsia="zh-CN" w:bidi="ar-SA"/>
              </w:rPr>
              <w:t>Goods,works,consultants'services,Training and Workshops for the Rural Roads</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spacing w:line="240" w:lineRule="auto"/>
              <w:jc w:val="right"/>
              <w:rPr>
                <w:color w:val="auto"/>
                <w:kern w:val="0"/>
                <w:sz w:val="18"/>
                <w:szCs w:val="18"/>
                <w:highlight w:val="none"/>
                <w:lang w:val="en-US" w:eastAsia="zh-CN" w:bidi="ar-SA"/>
              </w:rPr>
            </w:pPr>
            <w:r>
              <w:rPr>
                <w:rFonts w:hint="eastAsia"/>
                <w:color w:val="auto"/>
                <w:kern w:val="0"/>
                <w:sz w:val="18"/>
                <w:szCs w:val="18"/>
                <w:highlight w:val="none"/>
                <w:lang w:val="en-US" w:eastAsia="zh-CN" w:bidi="ar-SA"/>
              </w:rPr>
              <w:t>-</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spacing w:line="240" w:lineRule="auto"/>
              <w:jc w:val="right"/>
              <w:rPr>
                <w:color w:val="auto"/>
                <w:kern w:val="0"/>
                <w:sz w:val="18"/>
                <w:szCs w:val="18"/>
                <w:highlight w:val="none"/>
                <w:lang w:val="en-US" w:eastAsia="zh-CN" w:bidi="ar-SA"/>
              </w:rPr>
            </w:pPr>
            <w:r>
              <w:rPr>
                <w:rFonts w:hint="eastAsia"/>
                <w:color w:val="auto"/>
                <w:kern w:val="0"/>
                <w:sz w:val="18"/>
                <w:szCs w:val="18"/>
                <w:highlight w:val="none"/>
                <w:lang w:val="en-US" w:eastAsia="zh-CN" w:bidi="ar-SA"/>
              </w:rPr>
              <w:t>-</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spacing w:line="240" w:lineRule="auto"/>
              <w:jc w:val="right"/>
              <w:rPr>
                <w:color w:val="auto"/>
                <w:kern w:val="0"/>
                <w:sz w:val="18"/>
                <w:szCs w:val="18"/>
                <w:highlight w:val="none"/>
                <w:lang w:val="en-US" w:eastAsia="zh-CN" w:bidi="ar-SA"/>
              </w:rPr>
            </w:pPr>
            <w:r>
              <w:rPr>
                <w:rFonts w:hint="eastAsia"/>
                <w:color w:val="auto"/>
                <w:kern w:val="0"/>
                <w:sz w:val="18"/>
                <w:szCs w:val="18"/>
                <w:highlight w:val="none"/>
                <w:lang w:val="en-US" w:eastAsia="zh-CN" w:bidi="ar-SA"/>
              </w:rPr>
              <w:t>-</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spacing w:line="240" w:lineRule="auto"/>
              <w:jc w:val="right"/>
              <w:rPr>
                <w:color w:val="auto"/>
                <w:kern w:val="0"/>
                <w:sz w:val="18"/>
                <w:szCs w:val="18"/>
                <w:highlight w:val="none"/>
                <w:lang w:val="en-US" w:eastAsia="zh-CN" w:bidi="ar-SA"/>
              </w:rPr>
            </w:pPr>
            <w:r>
              <w:rPr>
                <w:rFonts w:hint="eastAsia"/>
                <w:color w:val="auto"/>
                <w:kern w:val="0"/>
                <w:sz w:val="18"/>
                <w:szCs w:val="18"/>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86"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3.先征费  Front-end Fee</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675,000.00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jc w:val="right"/>
              <w:rPr>
                <w:color w:val="auto"/>
                <w:kern w:val="2"/>
                <w:sz w:val="15"/>
                <w:szCs w:val="15"/>
                <w:highlight w:val="none"/>
                <w:lang w:val="en-US" w:eastAsia="zh-CN" w:bidi="ar-SA"/>
              </w:rPr>
            </w:pPr>
            <w:r>
              <w:rPr>
                <w:rFonts w:hint="eastAsia"/>
                <w:color w:val="auto"/>
                <w:kern w:val="2"/>
                <w:sz w:val="15"/>
                <w:szCs w:val="15"/>
                <w:highlight w:val="none"/>
                <w:lang w:val="en-US" w:eastAsia="zh-CN" w:bidi="ar-SA"/>
              </w:rPr>
              <w:t>-</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675,000.00</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4,708,935.00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其中：(1) 城建基础设施项目  Component of Urban Infrastructure</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snapToGrid w:val="0"/>
                <w:kern w:val="0"/>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675,000.00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jc w:val="right"/>
              <w:rPr>
                <w:snapToGrid w:val="0"/>
                <w:kern w:val="0"/>
                <w:sz w:val="15"/>
                <w:szCs w:val="15"/>
                <w:highlight w:val="none"/>
                <w:lang w:val="en-US" w:eastAsia="zh-CN" w:bidi="ar-SA"/>
              </w:rPr>
            </w:pPr>
            <w:r>
              <w:rPr>
                <w:rFonts w:hint="eastAsia"/>
                <w:snapToGrid w:val="0"/>
                <w:kern w:val="0"/>
                <w:sz w:val="15"/>
                <w:szCs w:val="15"/>
                <w:highlight w:val="none"/>
                <w:lang w:val="en-US" w:eastAsia="zh-CN" w:bidi="ar-SA"/>
              </w:rPr>
              <w:t>-</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jc w:val="right"/>
              <w:rPr>
                <w:snapToGrid w:val="0"/>
                <w:kern w:val="0"/>
                <w:sz w:val="15"/>
                <w:szCs w:val="15"/>
                <w:highlight w:val="none"/>
                <w:lang w:val="en-US" w:eastAsia="zh-CN" w:bidi="ar-SA"/>
              </w:rPr>
            </w:pPr>
            <w:r>
              <w:rPr>
                <w:rFonts w:hint="eastAsia"/>
                <w:snapToGrid w:val="0"/>
                <w:kern w:val="0"/>
                <w:sz w:val="15"/>
                <w:szCs w:val="15"/>
                <w:highlight w:val="none"/>
                <w:lang w:val="en-US" w:eastAsia="zh-CN" w:bidi="ar-SA"/>
              </w:rPr>
              <w:t>-</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snapToGrid w:val="0"/>
                <w:kern w:val="0"/>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675,000.00</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snapToGrid w:val="0"/>
                <w:kern w:val="0"/>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4,708,935.00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 xml:space="preserve">      (2) 农村公路项目 Component of Rural Roads </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snapToGrid w:val="0"/>
                <w:kern w:val="0"/>
                <w:sz w:val="15"/>
                <w:szCs w:val="15"/>
                <w:highlight w:val="none"/>
                <w:lang w:val="en-US" w:eastAsia="zh-CN" w:bidi="ar-SA"/>
              </w:rPr>
            </w:pPr>
            <w:r>
              <w:rPr>
                <w:rFonts w:hint="eastAsia"/>
                <w:snapToGrid w:val="0"/>
                <w:kern w:val="0"/>
                <w:sz w:val="15"/>
                <w:szCs w:val="15"/>
                <w:highlight w:val="none"/>
                <w:lang w:val="en-US" w:eastAsia="zh-CN" w:bidi="ar-SA"/>
              </w:rPr>
              <w:t>-</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jc w:val="right"/>
              <w:rPr>
                <w:snapToGrid w:val="0"/>
                <w:kern w:val="0"/>
                <w:sz w:val="24"/>
                <w:szCs w:val="24"/>
                <w:highlight w:val="none"/>
                <w:lang w:val="en-US" w:eastAsia="zh-CN" w:bidi="ar-SA"/>
              </w:rPr>
            </w:pPr>
            <w:r>
              <w:rPr>
                <w:rFonts w:hint="eastAsia"/>
                <w:snapToGrid w:val="0"/>
                <w:kern w:val="0"/>
                <w:sz w:val="15"/>
                <w:szCs w:val="15"/>
                <w:highlight w:val="none"/>
                <w:lang w:val="en-US" w:eastAsia="zh-CN" w:bidi="ar-SA"/>
              </w:rPr>
              <w:t>-</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jc w:val="right"/>
              <w:rPr>
                <w:snapToGrid w:val="0"/>
                <w:kern w:val="0"/>
                <w:sz w:val="24"/>
                <w:szCs w:val="24"/>
                <w:highlight w:val="none"/>
                <w:lang w:val="en-US" w:eastAsia="zh-CN" w:bidi="ar-SA"/>
              </w:rPr>
            </w:pPr>
            <w:r>
              <w:rPr>
                <w:rFonts w:hint="eastAsia"/>
                <w:snapToGrid w:val="0"/>
                <w:kern w:val="0"/>
                <w:sz w:val="15"/>
                <w:szCs w:val="15"/>
                <w:highlight w:val="none"/>
                <w:lang w:val="en-US" w:eastAsia="zh-CN" w:bidi="ar-SA"/>
              </w:rPr>
              <w:t>-</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jc w:val="right"/>
              <w:rPr>
                <w:snapToGrid w:val="0"/>
                <w:kern w:val="0"/>
                <w:sz w:val="24"/>
                <w:szCs w:val="24"/>
                <w:highlight w:val="none"/>
                <w:lang w:val="en-US" w:eastAsia="zh-CN" w:bidi="ar-SA"/>
              </w:rPr>
            </w:pPr>
            <w:r>
              <w:rPr>
                <w:rFonts w:hint="eastAsia"/>
                <w:snapToGrid w:val="0"/>
                <w:kern w:val="0"/>
                <w:sz w:val="15"/>
                <w:szCs w:val="15"/>
                <w:highlight w:val="none"/>
                <w:lang w:val="en-US" w:eastAsia="zh-CN" w:bidi="ar-SA"/>
              </w:rPr>
              <w:t>-</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jc w:val="right"/>
              <w:rPr>
                <w:snapToGrid w:val="0"/>
                <w:kern w:val="0"/>
                <w:sz w:val="24"/>
                <w:szCs w:val="24"/>
                <w:highlight w:val="none"/>
                <w:lang w:val="en-US" w:eastAsia="zh-CN" w:bidi="ar-SA"/>
              </w:rPr>
            </w:pPr>
            <w:r>
              <w:rPr>
                <w:rFonts w:hint="eastAsia"/>
                <w:snapToGrid w:val="0"/>
                <w:kern w:val="0"/>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4.利率上下限的贴水Interest Rate Cap or Interest Rate Collar premium</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val="0"/>
              <w:jc w:val="right"/>
              <w:textAlignment w:val="auto"/>
              <w:rPr>
                <w:snapToGrid w:val="0"/>
                <w:kern w:val="0"/>
                <w:sz w:val="15"/>
                <w:szCs w:val="15"/>
                <w:highlight w:val="none"/>
                <w:lang w:val="en-US" w:eastAsia="zh-CN" w:bidi="ar-SA"/>
              </w:rPr>
            </w:pPr>
            <w:r>
              <w:rPr>
                <w:rFonts w:hint="eastAsia"/>
                <w:snapToGrid w:val="0"/>
                <w:kern w:val="0"/>
                <w:sz w:val="15"/>
                <w:szCs w:val="15"/>
                <w:highlight w:val="none"/>
                <w:lang w:val="en-US" w:eastAsia="zh-CN" w:bidi="ar-SA"/>
              </w:rPr>
              <w:t>-</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jc w:val="right"/>
              <w:rPr>
                <w:snapToGrid w:val="0"/>
                <w:kern w:val="0"/>
                <w:sz w:val="24"/>
                <w:szCs w:val="24"/>
                <w:highlight w:val="none"/>
                <w:lang w:val="en-US" w:eastAsia="zh-CN" w:bidi="ar-SA"/>
              </w:rPr>
            </w:pPr>
            <w:r>
              <w:rPr>
                <w:rFonts w:hint="eastAsia"/>
                <w:snapToGrid w:val="0"/>
                <w:kern w:val="0"/>
                <w:sz w:val="15"/>
                <w:szCs w:val="15"/>
                <w:highlight w:val="none"/>
                <w:lang w:val="en-US" w:eastAsia="zh-CN" w:bidi="ar-SA"/>
              </w:rPr>
              <w:t>-</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jc w:val="right"/>
              <w:rPr>
                <w:snapToGrid w:val="0"/>
                <w:kern w:val="0"/>
                <w:sz w:val="24"/>
                <w:szCs w:val="24"/>
                <w:highlight w:val="none"/>
                <w:lang w:val="en-US" w:eastAsia="zh-CN" w:bidi="ar-SA"/>
              </w:rPr>
            </w:pPr>
            <w:r>
              <w:rPr>
                <w:rFonts w:hint="eastAsia"/>
                <w:snapToGrid w:val="0"/>
                <w:kern w:val="0"/>
                <w:sz w:val="15"/>
                <w:szCs w:val="15"/>
                <w:highlight w:val="none"/>
                <w:lang w:val="en-US" w:eastAsia="zh-CN" w:bidi="ar-SA"/>
              </w:rPr>
              <w:t>-</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jc w:val="right"/>
              <w:rPr>
                <w:snapToGrid w:val="0"/>
                <w:kern w:val="0"/>
                <w:sz w:val="24"/>
                <w:szCs w:val="24"/>
                <w:highlight w:val="none"/>
                <w:lang w:val="en-US" w:eastAsia="zh-CN" w:bidi="ar-SA"/>
              </w:rPr>
            </w:pPr>
            <w:r>
              <w:rPr>
                <w:rFonts w:hint="eastAsia"/>
                <w:snapToGrid w:val="0"/>
                <w:kern w:val="0"/>
                <w:sz w:val="15"/>
                <w:szCs w:val="15"/>
                <w:highlight w:val="none"/>
                <w:lang w:val="en-US" w:eastAsia="zh-CN" w:bidi="ar-SA"/>
              </w:rPr>
              <w:t>-</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jc w:val="right"/>
              <w:rPr>
                <w:snapToGrid w:val="0"/>
                <w:kern w:val="0"/>
                <w:sz w:val="24"/>
                <w:szCs w:val="24"/>
                <w:highlight w:val="none"/>
                <w:lang w:val="en-US" w:eastAsia="zh-CN" w:bidi="ar-SA"/>
              </w:rPr>
            </w:pPr>
            <w:r>
              <w:rPr>
                <w:rFonts w:hint="eastAsia"/>
                <w:snapToGrid w:val="0"/>
                <w:kern w:val="0"/>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5.指定帐户 Designated Account</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jc w:val="right"/>
              <w:rPr>
                <w:snapToGrid w:val="0"/>
                <w:kern w:val="0"/>
                <w:sz w:val="15"/>
                <w:szCs w:val="15"/>
                <w:highlight w:val="none"/>
                <w:lang w:val="en-US" w:eastAsia="zh-CN" w:bidi="ar-SA"/>
              </w:rPr>
            </w:pPr>
            <w:r>
              <w:rPr>
                <w:rFonts w:hint="eastAsia"/>
                <w:snapToGrid w:val="0"/>
                <w:kern w:val="0"/>
                <w:sz w:val="15"/>
                <w:szCs w:val="15"/>
                <w:highlight w:val="none"/>
                <w:lang w:val="en-US" w:eastAsia="zh-CN" w:bidi="ar-SA"/>
              </w:rPr>
              <w:t>-</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snapToGrid w:val="0"/>
                <w:kern w:val="0"/>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5,000,000.00</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snapToGrid w:val="0"/>
                <w:kern w:val="0"/>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34,881,000.00</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snapToGrid w:val="0"/>
                <w:kern w:val="0"/>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10,000,000.00</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snapToGrid w:val="0"/>
                <w:kern w:val="0"/>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69,762,000.00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24"/>
              <w:jc w:val="left"/>
              <w:rPr>
                <w:snapToGrid w:val="0"/>
                <w:kern w:val="0"/>
                <w:sz w:val="15"/>
                <w:szCs w:val="15"/>
                <w:highlight w:val="none"/>
                <w:lang w:val="en-US" w:eastAsia="zh-CN" w:bidi="ar-SA"/>
              </w:rPr>
            </w:pPr>
            <w:r>
              <w:rPr>
                <w:snapToGrid w:val="0"/>
                <w:kern w:val="0"/>
                <w:sz w:val="15"/>
                <w:szCs w:val="15"/>
                <w:highlight w:val="none"/>
                <w:lang w:val="en-US" w:eastAsia="zh-CN" w:bidi="ar-SA"/>
              </w:rPr>
              <w:t>总  计 Total</w:t>
            </w:r>
          </w:p>
        </w:tc>
        <w:tc>
          <w:tcPr>
            <w:tcW w:w="164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snapToGrid w:val="0"/>
                <w:kern w:val="0"/>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270,000,000.00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snapToGrid w:val="0"/>
                <w:kern w:val="0"/>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57,214,875.45</w:t>
            </w:r>
          </w:p>
        </w:tc>
        <w:tc>
          <w:tcPr>
            <w:tcW w:w="1338"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snapToGrid w:val="0"/>
                <w:kern w:val="0"/>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399,142,414.13</w:t>
            </w:r>
          </w:p>
        </w:tc>
        <w:tc>
          <w:tcPr>
            <w:tcW w:w="1300"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snapToGrid w:val="0"/>
                <w:kern w:val="0"/>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64,229,960.70</w:t>
            </w:r>
          </w:p>
        </w:tc>
        <w:tc>
          <w:tcPr>
            <w:tcW w:w="1212" w:type="dxa"/>
            <w:tcBorders>
              <w:top w:val="single" w:color="auto" w:sz="6" w:space="0"/>
              <w:left w:val="single" w:color="auto" w:sz="6" w:space="0"/>
              <w:bottom w:val="single" w:color="auto" w:sz="6" w:space="0"/>
              <w:right w:val="single" w:color="auto" w:sz="6" w:space="0"/>
            </w:tcBorders>
            <w:vAlign w:val="center"/>
          </w:tcPr>
          <w:p>
            <w:pPr>
              <w:pStyle w:val="24"/>
              <w:widowControl/>
              <w:jc w:val="right"/>
              <w:textAlignment w:val="center"/>
              <w:rPr>
                <w:snapToGrid w:val="0"/>
                <w:kern w:val="0"/>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448,081,051.85</w:t>
            </w:r>
          </w:p>
        </w:tc>
      </w:tr>
    </w:tbl>
    <w:p>
      <w:pPr>
        <w:pStyle w:val="24"/>
        <w:rPr>
          <w:rFonts w:eastAsia="仿宋_GB2312"/>
          <w:snapToGrid w:val="0"/>
          <w:kern w:val="0"/>
          <w:sz w:val="21"/>
          <w:szCs w:val="21"/>
          <w:highlight w:val="none"/>
          <w:lang w:val="en-US" w:eastAsia="zh-CN" w:bidi="ar-SA"/>
        </w:rPr>
      </w:pPr>
      <w:r>
        <w:rPr>
          <w:rFonts w:eastAsia="仿宋_GB2312"/>
          <w:snapToGrid w:val="0"/>
          <w:kern w:val="0"/>
          <w:sz w:val="21"/>
          <w:szCs w:val="21"/>
          <w:highlight w:val="none"/>
          <w:lang w:val="en-US" w:eastAsia="zh-CN" w:bidi="ar-SA"/>
        </w:rPr>
        <w:t>注：美元与人民币兑比率为1美元=6.</w:t>
      </w:r>
      <w:r>
        <w:rPr>
          <w:rFonts w:hint="eastAsia" w:eastAsia="仿宋_GB2312"/>
          <w:snapToGrid w:val="0"/>
          <w:kern w:val="0"/>
          <w:sz w:val="21"/>
          <w:szCs w:val="21"/>
          <w:highlight w:val="none"/>
          <w:lang w:val="en-US" w:eastAsia="zh-CN" w:bidi="ar-SA"/>
        </w:rPr>
        <w:t>9762</w:t>
      </w:r>
      <w:r>
        <w:rPr>
          <w:rFonts w:eastAsia="仿宋_GB2312"/>
          <w:snapToGrid w:val="0"/>
          <w:kern w:val="0"/>
          <w:sz w:val="21"/>
          <w:szCs w:val="21"/>
          <w:highlight w:val="none"/>
          <w:lang w:val="en-US" w:eastAsia="zh-CN" w:bidi="ar-SA"/>
        </w:rPr>
        <w:t>元人民币</w:t>
      </w:r>
    </w:p>
    <w:p>
      <w:pPr>
        <w:pStyle w:val="24"/>
        <w:rPr>
          <w:snapToGrid w:val="0"/>
          <w:kern w:val="0"/>
          <w:sz w:val="20"/>
          <w:highlight w:val="none"/>
          <w:lang w:val="en-US" w:eastAsia="zh-CN" w:bidi="ar-SA"/>
        </w:rPr>
      </w:pPr>
      <w:r>
        <w:rPr>
          <w:snapToGrid w:val="0"/>
          <w:kern w:val="0"/>
          <w:sz w:val="20"/>
          <w:highlight w:val="none"/>
          <w:lang w:val="en-US" w:eastAsia="zh-CN" w:bidi="ar-SA"/>
        </w:rPr>
        <w:t>（</w:t>
      </w:r>
      <w:r>
        <w:rPr>
          <w:rFonts w:eastAsia="仿宋_GB2312"/>
          <w:snapToGrid w:val="0"/>
          <w:kern w:val="0"/>
          <w:sz w:val="21"/>
          <w:szCs w:val="21"/>
          <w:highlight w:val="none"/>
          <w:lang w:val="en-US" w:eastAsia="zh-CN" w:bidi="ar-SA"/>
        </w:rPr>
        <w:t xml:space="preserve">Note: </w:t>
      </w:r>
      <w:r>
        <w:rPr>
          <w:snapToGrid w:val="0"/>
          <w:kern w:val="0"/>
          <w:sz w:val="20"/>
          <w:highlight w:val="none"/>
          <w:lang w:val="en-US" w:eastAsia="zh-CN" w:bidi="ar-SA"/>
        </w:rPr>
        <w:t>Exchange Rate:</w:t>
      </w:r>
      <w:r>
        <w:rPr>
          <w:rFonts w:hint="eastAsia"/>
          <w:snapToGrid w:val="0"/>
          <w:kern w:val="0"/>
          <w:sz w:val="20"/>
          <w:highlight w:val="none"/>
          <w:lang w:val="en-US" w:eastAsia="zh-CN" w:bidi="ar-SA"/>
        </w:rPr>
        <w:t xml:space="preserve"> </w:t>
      </w:r>
      <w:r>
        <w:rPr>
          <w:snapToGrid w:val="0"/>
          <w:kern w:val="0"/>
          <w:sz w:val="20"/>
          <w:highlight w:val="none"/>
          <w:lang w:val="en-US" w:eastAsia="zh-CN" w:bidi="ar-SA"/>
        </w:rPr>
        <w:t>USD</w:t>
      </w:r>
      <w:r>
        <w:rPr>
          <w:rFonts w:hint="eastAsia"/>
          <w:snapToGrid w:val="0"/>
          <w:kern w:val="0"/>
          <w:sz w:val="20"/>
          <w:highlight w:val="none"/>
          <w:lang w:val="en-US" w:eastAsia="zh-CN" w:bidi="ar-SA"/>
        </w:rPr>
        <w:t xml:space="preserve"> </w:t>
      </w:r>
      <w:r>
        <w:rPr>
          <w:snapToGrid w:val="0"/>
          <w:kern w:val="0"/>
          <w:sz w:val="20"/>
          <w:highlight w:val="none"/>
          <w:lang w:val="en-US" w:eastAsia="zh-CN" w:bidi="ar-SA"/>
        </w:rPr>
        <w:t>1=RMB</w:t>
      </w:r>
      <w:r>
        <w:rPr>
          <w:rFonts w:hint="eastAsia" w:eastAsia="仿宋_GB2312"/>
          <w:snapToGrid w:val="0"/>
          <w:kern w:val="0"/>
          <w:sz w:val="21"/>
          <w:szCs w:val="21"/>
          <w:highlight w:val="none"/>
          <w:lang w:val="en-US" w:eastAsia="zh-CN" w:bidi="ar-SA"/>
        </w:rPr>
        <w:t xml:space="preserve"> </w:t>
      </w:r>
      <w:r>
        <w:rPr>
          <w:rFonts w:eastAsia="仿宋_GB2312"/>
          <w:snapToGrid w:val="0"/>
          <w:kern w:val="0"/>
          <w:sz w:val="21"/>
          <w:szCs w:val="21"/>
          <w:highlight w:val="none"/>
          <w:lang w:val="en-US" w:eastAsia="zh-CN" w:bidi="ar-SA"/>
        </w:rPr>
        <w:t>6.</w:t>
      </w:r>
      <w:r>
        <w:rPr>
          <w:rFonts w:hint="eastAsia" w:eastAsia="仿宋_GB2312"/>
          <w:snapToGrid w:val="0"/>
          <w:kern w:val="0"/>
          <w:sz w:val="21"/>
          <w:szCs w:val="21"/>
          <w:highlight w:val="none"/>
          <w:lang w:val="en-US" w:eastAsia="zh-CN" w:bidi="ar-SA"/>
        </w:rPr>
        <w:t>9762</w:t>
      </w:r>
      <w:r>
        <w:rPr>
          <w:rFonts w:hint="eastAsia"/>
          <w:snapToGrid w:val="0"/>
          <w:kern w:val="0"/>
          <w:sz w:val="20"/>
          <w:highlight w:val="none"/>
          <w:lang w:val="en-US" w:eastAsia="zh-CN" w:bidi="ar-SA"/>
        </w:rPr>
        <w:t>Y</w:t>
      </w:r>
      <w:r>
        <w:rPr>
          <w:snapToGrid w:val="0"/>
          <w:kern w:val="0"/>
          <w:sz w:val="20"/>
          <w:highlight w:val="none"/>
          <w:lang w:val="en-US" w:eastAsia="zh-CN" w:bidi="ar-SA"/>
        </w:rPr>
        <w:t>uan）</w:t>
      </w:r>
    </w:p>
    <w:p>
      <w:pPr>
        <w:pStyle w:val="24"/>
        <w:autoSpaceDE w:val="0"/>
        <w:autoSpaceDN w:val="0"/>
        <w:adjustRightInd w:val="0"/>
        <w:spacing w:line="300" w:lineRule="exact"/>
        <w:rPr>
          <w:snapToGrid w:val="0"/>
          <w:kern w:val="0"/>
          <w:sz w:val="28"/>
          <w:highlight w:val="none"/>
          <w:lang w:val="en-US" w:eastAsia="zh-CN" w:bidi="ar-SA"/>
        </w:rPr>
        <w:sectPr>
          <w:footnotePr>
            <w:numRestart w:val="eachPage"/>
          </w:footnotePr>
          <w:type w:val="nextColumn"/>
          <w:pgSz w:w="16783" w:h="11850" w:orient="landscape"/>
          <w:pgMar w:top="2098" w:right="1474" w:bottom="1985" w:left="1588" w:header="851" w:footer="992" w:gutter="0"/>
          <w:cols w:space="720" w:num="1"/>
          <w:docGrid w:type="linesAndChars" w:linePitch="312" w:charSpace="0"/>
        </w:sectPr>
      </w:pPr>
    </w:p>
    <w:p>
      <w:pPr>
        <w:pStyle w:val="20"/>
        <w:rPr>
          <w:rFonts w:ascii="Times New Roman" w:eastAsia="仿宋_GB2312"/>
          <w:b w:val="0"/>
          <w:bCs w:val="0"/>
          <w:snapToGrid w:val="0"/>
          <w:kern w:val="0"/>
          <w:sz w:val="28"/>
          <w:szCs w:val="30"/>
          <w:highlight w:val="none"/>
          <w:lang w:val="en-US" w:eastAsia="zh-CN" w:bidi="ar-SA"/>
        </w:rPr>
      </w:pPr>
      <w:bookmarkStart w:id="9" w:name="_Toc516757259"/>
      <w:r>
        <w:rPr>
          <w:rFonts w:ascii="楷体_GB2312" w:eastAsia="仿宋_GB2312"/>
          <w:b w:val="0"/>
          <w:bCs w:val="0"/>
          <w:snapToGrid w:val="0"/>
          <w:kern w:val="0"/>
          <w:sz w:val="28"/>
          <w:szCs w:val="30"/>
          <w:highlight w:val="none"/>
          <w:lang w:val="en-US" w:eastAsia="zh-CN" w:bidi="ar-SA"/>
        </w:rPr>
        <w:t>（四）指定账户报表</w:t>
      </w:r>
      <w:bookmarkEnd w:id="9"/>
    </w:p>
    <w:p>
      <w:pPr>
        <w:pStyle w:val="23"/>
        <w:rPr>
          <w:rFonts w:eastAsia="Times New Roman" w:cs="Times New Roman"/>
          <w:b/>
          <w:bCs/>
          <w:snapToGrid w:val="0"/>
          <w:color w:val="auto"/>
          <w:kern w:val="0"/>
          <w:sz w:val="28"/>
          <w:szCs w:val="30"/>
          <w:highlight w:val="none"/>
          <w:lang w:val="en-GB" w:eastAsia="zh-CN" w:bidi="ar-SA"/>
        </w:rPr>
      </w:pPr>
      <w:bookmarkStart w:id="10" w:name="_Toc516757260"/>
      <w:r>
        <w:rPr>
          <w:rFonts w:eastAsia="Times New Roman" w:cs="Times New Roman"/>
          <w:b/>
          <w:bCs/>
          <w:snapToGrid w:val="0"/>
          <w:color w:val="auto"/>
          <w:kern w:val="0"/>
          <w:sz w:val="28"/>
          <w:szCs w:val="30"/>
          <w:highlight w:val="none"/>
          <w:lang w:val="en-GB" w:eastAsia="zh-CN" w:bidi="ar-SA"/>
        </w:rPr>
        <w:t>iv. Designated Account Statement</w:t>
      </w:r>
      <w:bookmarkEnd w:id="10"/>
    </w:p>
    <w:p>
      <w:pPr>
        <w:pStyle w:val="25"/>
        <w:rPr>
          <w:rFonts w:eastAsia="仿宋_GB2312"/>
          <w:b/>
          <w:snapToGrid w:val="0"/>
          <w:kern w:val="0"/>
          <w:sz w:val="32"/>
          <w:szCs w:val="32"/>
          <w:highlight w:val="none"/>
          <w:lang w:val="en-GB" w:eastAsia="zh-CN" w:bidi="ar-SA"/>
        </w:rPr>
      </w:pPr>
      <w:r>
        <w:rPr>
          <w:rFonts w:eastAsia="仿宋_GB2312"/>
          <w:b/>
          <w:bCs/>
          <w:snapToGrid w:val="0"/>
          <w:kern w:val="0"/>
          <w:sz w:val="32"/>
          <w:szCs w:val="32"/>
          <w:highlight w:val="none"/>
          <w:lang w:val="en-GB" w:eastAsia="zh-CN" w:bidi="ar-SA"/>
        </w:rPr>
        <w:t>指 定 账 户 报 表</w:t>
      </w:r>
    </w:p>
    <w:p>
      <w:pPr>
        <w:pStyle w:val="27"/>
        <w:rPr>
          <w:b/>
          <w:bCs/>
          <w:snapToGrid w:val="0"/>
          <w:kern w:val="0"/>
          <w:sz w:val="32"/>
          <w:szCs w:val="32"/>
          <w:highlight w:val="none"/>
          <w:lang w:val="en-US" w:eastAsia="zh-CN" w:bidi="ar-SA"/>
        </w:rPr>
      </w:pPr>
      <w:r>
        <w:rPr>
          <w:b/>
          <w:bCs/>
          <w:snapToGrid w:val="0"/>
          <w:kern w:val="0"/>
          <w:sz w:val="32"/>
          <w:szCs w:val="32"/>
          <w:highlight w:val="none"/>
          <w:lang w:val="en-US" w:eastAsia="zh-CN" w:bidi="ar-SA"/>
        </w:rPr>
        <w:t>DESIGNATED ACCOUNT STATEMENT</w:t>
      </w:r>
    </w:p>
    <w:p>
      <w:pPr>
        <w:pStyle w:val="24"/>
        <w:spacing w:line="400" w:lineRule="exact"/>
        <w:jc w:val="center"/>
        <w:rPr>
          <w:rFonts w:eastAsia="仿宋_GB2312"/>
          <w:snapToGrid w:val="0"/>
          <w:kern w:val="0"/>
          <w:sz w:val="21"/>
          <w:highlight w:val="none"/>
          <w:lang w:val="en-US" w:eastAsia="zh-CN" w:bidi="ar-SA"/>
        </w:rPr>
      </w:pPr>
      <w:r>
        <w:rPr>
          <w:rFonts w:eastAsia="仿宋_GB2312"/>
          <w:snapToGrid w:val="0"/>
          <w:kern w:val="0"/>
          <w:sz w:val="21"/>
          <w:szCs w:val="28"/>
          <w:highlight w:val="none"/>
          <w:lang w:val="en-GB" w:eastAsia="zh-CN" w:bidi="ar-SA"/>
        </w:rPr>
        <w:t>本期截至</w:t>
      </w:r>
      <w:r>
        <w:rPr>
          <w:rFonts w:hint="eastAsia" w:eastAsia="仿宋_GB2312"/>
          <w:snapToGrid w:val="0"/>
          <w:kern w:val="0"/>
          <w:sz w:val="21"/>
          <w:highlight w:val="none"/>
          <w:lang w:val="en-US" w:eastAsia="zh-CN" w:bidi="ar-SA"/>
        </w:rPr>
        <w:t>2019</w:t>
      </w:r>
      <w:r>
        <w:rPr>
          <w:rFonts w:eastAsia="仿宋_GB2312"/>
          <w:snapToGrid w:val="0"/>
          <w:kern w:val="0"/>
          <w:sz w:val="21"/>
          <w:szCs w:val="28"/>
          <w:highlight w:val="none"/>
          <w:lang w:val="en-GB" w:eastAsia="zh-CN" w:bidi="ar-SA"/>
        </w:rPr>
        <w:t>年12月31日</w:t>
      </w:r>
    </w:p>
    <w:p>
      <w:pPr>
        <w:pStyle w:val="24"/>
        <w:spacing w:line="400" w:lineRule="exact"/>
        <w:jc w:val="center"/>
        <w:rPr>
          <w:snapToGrid w:val="0"/>
          <w:kern w:val="0"/>
          <w:sz w:val="21"/>
          <w:highlight w:val="none"/>
          <w:lang w:val="en-US" w:eastAsia="zh-CN" w:bidi="ar-SA"/>
        </w:rPr>
      </w:pPr>
      <w:r>
        <w:rPr>
          <w:snapToGrid w:val="0"/>
          <w:kern w:val="0"/>
          <w:sz w:val="21"/>
          <w:highlight w:val="none"/>
          <w:lang w:val="en-US" w:eastAsia="zh-CN" w:bidi="ar-SA"/>
        </w:rPr>
        <w:t xml:space="preserve">(For the period ended December 31, </w:t>
      </w:r>
      <w:r>
        <w:rPr>
          <w:rFonts w:hint="eastAsia"/>
          <w:snapToGrid w:val="0"/>
          <w:kern w:val="0"/>
          <w:sz w:val="21"/>
          <w:highlight w:val="none"/>
          <w:lang w:val="en-US" w:eastAsia="zh-CN" w:bidi="ar-SA"/>
        </w:rPr>
        <w:t>2019</w:t>
      </w:r>
      <w:r>
        <w:rPr>
          <w:snapToGrid w:val="0"/>
          <w:kern w:val="0"/>
          <w:sz w:val="21"/>
          <w:highlight w:val="none"/>
          <w:lang w:val="en-US" w:eastAsia="zh-CN" w:bidi="ar-SA"/>
        </w:rPr>
        <w:t>）</w:t>
      </w:r>
    </w:p>
    <w:p>
      <w:pPr>
        <w:pStyle w:val="24"/>
        <w:jc w:val="center"/>
        <w:rPr>
          <w:b/>
          <w:snapToGrid w:val="0"/>
          <w:kern w:val="0"/>
          <w:sz w:val="21"/>
          <w:highlight w:val="none"/>
          <w:lang w:val="en-US" w:eastAsia="zh-CN" w:bidi="ar-SA"/>
        </w:rPr>
      </w:pPr>
    </w:p>
    <w:tbl>
      <w:tblPr>
        <w:tblStyle w:val="6"/>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56"/>
        <w:gridCol w:w="4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856" w:type="dxa"/>
            <w:vAlign w:val="top"/>
          </w:tcPr>
          <w:p>
            <w:pPr>
              <w:pStyle w:val="24"/>
              <w:spacing w:line="300" w:lineRule="exact"/>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项目名称：世界银行贷款</w:t>
            </w:r>
            <w:r>
              <w:rPr>
                <w:rFonts w:hint="eastAsia" w:eastAsia="仿宋_GB2312"/>
                <w:snapToGrid w:val="0"/>
                <w:kern w:val="0"/>
                <w:sz w:val="21"/>
                <w:highlight w:val="none"/>
                <w:lang w:val="en-US" w:eastAsia="zh-CN" w:bidi="ar-SA"/>
              </w:rPr>
              <w:t>芦山</w:t>
            </w:r>
            <w:r>
              <w:rPr>
                <w:rFonts w:eastAsia="仿宋_GB2312"/>
                <w:snapToGrid w:val="0"/>
                <w:kern w:val="0"/>
                <w:sz w:val="21"/>
                <w:highlight w:val="none"/>
                <w:lang w:val="en-US" w:eastAsia="zh-CN" w:bidi="ar-SA"/>
              </w:rPr>
              <w:t>地震</w:t>
            </w:r>
            <w:r>
              <w:rPr>
                <w:rFonts w:hint="eastAsia" w:eastAsia="仿宋_GB2312"/>
                <w:snapToGrid w:val="0"/>
                <w:kern w:val="0"/>
                <w:sz w:val="21"/>
                <w:highlight w:val="none"/>
                <w:lang w:val="en-US" w:eastAsia="zh-CN" w:bidi="ar-SA"/>
              </w:rPr>
              <w:t>灾后恢复重建项目</w:t>
            </w:r>
            <w:r>
              <w:rPr>
                <w:rFonts w:eastAsia="仿宋_GB2312"/>
                <w:snapToGrid w:val="0"/>
                <w:kern w:val="0"/>
                <w:sz w:val="21"/>
                <w:highlight w:val="none"/>
                <w:lang w:val="en-US" w:eastAsia="zh-CN" w:bidi="ar-SA"/>
              </w:rPr>
              <w:t>-城建子项目</w:t>
            </w:r>
          </w:p>
        </w:tc>
        <w:tc>
          <w:tcPr>
            <w:tcW w:w="4205" w:type="dxa"/>
            <w:vAlign w:val="top"/>
          </w:tcPr>
          <w:p>
            <w:pPr>
              <w:pStyle w:val="24"/>
              <w:spacing w:line="300" w:lineRule="exact"/>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开户银行名称：中国农业银行股份有限公司四川省分行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856" w:type="dxa"/>
            <w:vAlign w:val="top"/>
          </w:tcPr>
          <w:p>
            <w:pPr>
              <w:pStyle w:val="24"/>
              <w:snapToGrid w:val="0"/>
              <w:spacing w:line="120" w:lineRule="atLeast"/>
              <w:ind w:leftChars="-207" w:right="-1784" w:hanging="434" w:hangingChars="207"/>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Pro</w:t>
            </w:r>
            <w:r>
              <w:rPr>
                <w:rFonts w:hint="eastAsia" w:eastAsia="仿宋_GB2312"/>
                <w:snapToGrid w:val="0"/>
                <w:kern w:val="0"/>
                <w:sz w:val="21"/>
                <w:highlight w:val="none"/>
                <w:lang w:val="en-US" w:eastAsia="zh-CN" w:bidi="ar-SA"/>
              </w:rPr>
              <w:t xml:space="preserve"> </w:t>
            </w:r>
            <w:r>
              <w:rPr>
                <w:rFonts w:eastAsia="仿宋_GB2312"/>
                <w:snapToGrid w:val="0"/>
                <w:kern w:val="0"/>
                <w:sz w:val="21"/>
                <w:highlight w:val="none"/>
                <w:lang w:val="en-US" w:eastAsia="zh-CN" w:bidi="ar-SA"/>
              </w:rPr>
              <w:t>Project Name: Lushan Earthquake Recovery and Reconstruction</w:t>
            </w:r>
            <w:r>
              <w:rPr>
                <w:rFonts w:hint="eastAsia" w:eastAsia="仿宋_GB2312"/>
                <w:snapToGrid w:val="0"/>
                <w:kern w:val="0"/>
                <w:sz w:val="21"/>
                <w:highlight w:val="none"/>
                <w:lang w:val="en-US" w:eastAsia="zh-CN" w:bidi="ar-SA"/>
              </w:rPr>
              <w:t xml:space="preserve"> </w:t>
            </w:r>
            <w:r>
              <w:rPr>
                <w:rFonts w:eastAsia="仿宋_GB2312"/>
                <w:snapToGrid w:val="0"/>
                <w:kern w:val="0"/>
                <w:sz w:val="21"/>
                <w:highlight w:val="none"/>
                <w:lang w:val="en-US" w:eastAsia="zh-CN" w:bidi="ar-SA"/>
              </w:rPr>
              <w:t xml:space="preserve">Project Financed by World Bank - Urban </w:t>
            </w:r>
            <w:r>
              <w:rPr>
                <w:rFonts w:hint="eastAsia" w:eastAsia="仿宋_GB2312"/>
                <w:snapToGrid w:val="0"/>
                <w:kern w:val="0"/>
                <w:sz w:val="21"/>
                <w:highlight w:val="none"/>
                <w:lang w:val="en-US" w:eastAsia="zh-CN" w:bidi="ar-SA"/>
              </w:rPr>
              <w:t>c</w:t>
            </w:r>
            <w:r>
              <w:rPr>
                <w:rFonts w:eastAsia="仿宋_GB2312"/>
                <w:snapToGrid w:val="0"/>
                <w:kern w:val="0"/>
                <w:sz w:val="21"/>
                <w:highlight w:val="none"/>
                <w:lang w:val="en-US" w:eastAsia="zh-CN" w:bidi="ar-SA"/>
              </w:rPr>
              <w:t>onstruction</w:t>
            </w:r>
          </w:p>
          <w:p>
            <w:pPr>
              <w:pStyle w:val="24"/>
              <w:snapToGrid w:val="0"/>
              <w:spacing w:line="120" w:lineRule="atLeast"/>
              <w:ind w:leftChars="-207" w:right="-1784" w:hanging="434" w:hangingChars="207"/>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 xml:space="preserve"> S</w:t>
            </w:r>
            <w:r>
              <w:rPr>
                <w:rFonts w:hint="eastAsia" w:eastAsia="仿宋_GB2312"/>
                <w:snapToGrid w:val="0"/>
                <w:kern w:val="0"/>
                <w:sz w:val="21"/>
                <w:highlight w:val="none"/>
                <w:lang w:val="en-US" w:eastAsia="zh-CN" w:bidi="ar-SA"/>
              </w:rPr>
              <w:t xml:space="preserve">  s</w:t>
            </w:r>
            <w:r>
              <w:rPr>
                <w:rFonts w:eastAsia="仿宋_GB2312"/>
                <w:snapToGrid w:val="0"/>
                <w:kern w:val="0"/>
                <w:sz w:val="21"/>
                <w:highlight w:val="none"/>
                <w:lang w:val="en-US" w:eastAsia="zh-CN" w:bidi="ar-SA"/>
              </w:rPr>
              <w:t>ubproject</w:t>
            </w:r>
          </w:p>
        </w:tc>
        <w:tc>
          <w:tcPr>
            <w:tcW w:w="4205" w:type="dxa"/>
            <w:vAlign w:val="top"/>
          </w:tcPr>
          <w:p>
            <w:pPr>
              <w:pStyle w:val="24"/>
              <w:spacing w:line="300" w:lineRule="exact"/>
              <w:rPr>
                <w:rFonts w:eastAsia="仿宋_GB2312"/>
                <w:snapToGrid w:val="0"/>
                <w:kern w:val="0"/>
                <w:sz w:val="21"/>
                <w:highlight w:val="none"/>
                <w:lang w:val="en-US" w:eastAsia="zh-CN" w:bidi="ar-SA"/>
              </w:rPr>
            </w:pPr>
            <w:r>
              <w:rPr>
                <w:snapToGrid w:val="0"/>
                <w:kern w:val="0"/>
                <w:sz w:val="21"/>
                <w:highlight w:val="none"/>
                <w:lang w:val="en-US" w:eastAsia="zh-CN" w:bidi="ar-SA"/>
              </w:rPr>
              <w:t>Depository Bank: Shu Du Sub-branch, Sichuan Branch, Agricultural Bank of China</w:t>
            </w:r>
          </w:p>
        </w:tc>
      </w:tr>
    </w:tbl>
    <w:p>
      <w:pPr>
        <w:pStyle w:val="24"/>
        <w:spacing w:line="300" w:lineRule="exact"/>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贷款号：8647-CHA                                 账号：</w:t>
      </w:r>
      <w:r>
        <w:rPr>
          <w:rFonts w:eastAsia="仿宋_GB2312"/>
          <w:snapToGrid w:val="0"/>
          <w:kern w:val="0"/>
          <w:sz w:val="21"/>
          <w:szCs w:val="21"/>
          <w:highlight w:val="none"/>
          <w:lang w:val="en-US" w:eastAsia="zh-CN" w:bidi="ar-SA"/>
        </w:rPr>
        <w:t>22920114040000925</w:t>
      </w:r>
    </w:p>
    <w:p>
      <w:pPr>
        <w:pStyle w:val="24"/>
        <w:spacing w:line="300" w:lineRule="exact"/>
        <w:rPr>
          <w:rFonts w:eastAsia="仿宋_GB2312"/>
          <w:snapToGrid w:val="0"/>
          <w:kern w:val="0"/>
          <w:sz w:val="21"/>
          <w:highlight w:val="none"/>
          <w:lang w:val="en-US" w:eastAsia="zh-CN" w:bidi="ar-SA"/>
        </w:rPr>
      </w:pPr>
      <w:r>
        <w:rPr>
          <w:snapToGrid w:val="0"/>
          <w:kern w:val="0"/>
          <w:sz w:val="21"/>
          <w:highlight w:val="none"/>
          <w:lang w:val="en-US" w:eastAsia="zh-CN" w:bidi="ar-SA"/>
        </w:rPr>
        <w:t>Loan No.</w:t>
      </w:r>
      <w:r>
        <w:rPr>
          <w:snapToGrid w:val="0"/>
          <w:kern w:val="0"/>
          <w:sz w:val="21"/>
          <w:highlight w:val="none"/>
          <w:lang w:val="en-US" w:eastAsia="zh-CN" w:bidi="ar-SA"/>
        </w:rPr>
        <w:tab/>
      </w:r>
      <w:r>
        <w:rPr>
          <w:snapToGrid w:val="0"/>
          <w:kern w:val="0"/>
          <w:sz w:val="21"/>
          <w:highlight w:val="none"/>
          <w:lang w:val="en-US" w:eastAsia="zh-CN" w:bidi="ar-SA"/>
        </w:rPr>
        <w:t xml:space="preserve">8647-CHA                         </w:t>
      </w:r>
      <w:r>
        <w:rPr>
          <w:rFonts w:hint="eastAsia"/>
          <w:snapToGrid w:val="0"/>
          <w:kern w:val="0"/>
          <w:sz w:val="21"/>
          <w:highlight w:val="none"/>
          <w:lang w:val="en-US" w:eastAsia="zh-CN" w:bidi="ar-SA"/>
        </w:rPr>
        <w:t xml:space="preserve"> </w:t>
      </w:r>
      <w:r>
        <w:rPr>
          <w:snapToGrid w:val="0"/>
          <w:kern w:val="0"/>
          <w:sz w:val="21"/>
          <w:highlight w:val="none"/>
          <w:lang w:val="en-US" w:eastAsia="zh-CN" w:bidi="ar-SA"/>
        </w:rPr>
        <w:t>Account No.:</w:t>
      </w:r>
      <w:r>
        <w:rPr>
          <w:snapToGrid w:val="0"/>
          <w:kern w:val="0"/>
          <w:sz w:val="21"/>
          <w:szCs w:val="21"/>
          <w:highlight w:val="none"/>
          <w:lang w:val="en-US" w:eastAsia="zh-CN" w:bidi="ar-SA"/>
        </w:rPr>
        <w:t xml:space="preserve"> 22920114040000925</w:t>
      </w:r>
    </w:p>
    <w:p>
      <w:pPr>
        <w:pStyle w:val="24"/>
        <w:spacing w:line="300" w:lineRule="exact"/>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t>编报单位：四川省财政厅                                 货币种类：美元</w:t>
      </w:r>
    </w:p>
    <w:p>
      <w:pPr>
        <w:pStyle w:val="24"/>
        <w:spacing w:line="300" w:lineRule="exact"/>
        <w:rPr>
          <w:rFonts w:eastAsia="仿宋_GB2312"/>
          <w:snapToGrid w:val="0"/>
          <w:kern w:val="0"/>
          <w:sz w:val="21"/>
          <w:highlight w:val="none"/>
          <w:lang w:val="en-US" w:eastAsia="zh-CN" w:bidi="ar-SA"/>
        </w:rPr>
      </w:pPr>
      <w:r>
        <w:rPr>
          <w:snapToGrid w:val="0"/>
          <w:kern w:val="0"/>
          <w:sz w:val="21"/>
          <w:highlight w:val="none"/>
          <w:lang w:val="en-US" w:eastAsia="zh-CN" w:bidi="ar-SA"/>
        </w:rPr>
        <w:t>Prepared by: The Finance Department of Sichuan Province        Currency: USD</w:t>
      </w:r>
    </w:p>
    <w:p>
      <w:pPr>
        <w:pStyle w:val="24"/>
        <w:spacing w:line="300" w:lineRule="exact"/>
        <w:rPr>
          <w:snapToGrid w:val="0"/>
          <w:kern w:val="0"/>
          <w:sz w:val="21"/>
          <w:szCs w:val="21"/>
          <w:highlight w:val="none"/>
          <w:lang w:val="en-US" w:eastAsia="zh-CN" w:bidi="ar-SA"/>
        </w:rPr>
      </w:pP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6"/>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5756" w:type="dxa"/>
            <w:vAlign w:val="center"/>
          </w:tcPr>
          <w:p>
            <w:pPr>
              <w:pStyle w:val="24"/>
              <w:spacing w:line="216"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A部分：本期指定账户收支情况</w:t>
            </w:r>
          </w:p>
          <w:p>
            <w:pPr>
              <w:pStyle w:val="24"/>
              <w:spacing w:line="216" w:lineRule="exact"/>
              <w:jc w:val="center"/>
              <w:rPr>
                <w:b/>
                <w:snapToGrid w:val="0"/>
                <w:kern w:val="0"/>
                <w:sz w:val="15"/>
                <w:szCs w:val="15"/>
                <w:highlight w:val="none"/>
                <w:lang w:val="en-US" w:eastAsia="zh-CN" w:bidi="ar-SA"/>
              </w:rPr>
            </w:pPr>
            <w:r>
              <w:rPr>
                <w:snapToGrid w:val="0"/>
                <w:kern w:val="0"/>
                <w:sz w:val="15"/>
                <w:szCs w:val="15"/>
                <w:highlight w:val="none"/>
                <w:lang w:val="en-US" w:eastAsia="zh-CN" w:bidi="ar-SA"/>
              </w:rPr>
              <w:t>Part A-Account Activity for the Current Period</w:t>
            </w:r>
          </w:p>
        </w:tc>
        <w:tc>
          <w:tcPr>
            <w:tcW w:w="3305" w:type="dxa"/>
            <w:vAlign w:val="center"/>
          </w:tcPr>
          <w:p>
            <w:pPr>
              <w:pStyle w:val="24"/>
              <w:spacing w:line="216"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金  额</w:t>
            </w:r>
          </w:p>
          <w:p>
            <w:pPr>
              <w:pStyle w:val="24"/>
              <w:spacing w:line="216"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期初余额</w:t>
            </w:r>
          </w:p>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Beginning Balance</w:t>
            </w:r>
          </w:p>
        </w:tc>
        <w:tc>
          <w:tcPr>
            <w:tcW w:w="3305" w:type="dxa"/>
            <w:vAlign w:val="top"/>
          </w:tcPr>
          <w:p>
            <w:pPr>
              <w:pStyle w:val="24"/>
              <w:jc w:val="right"/>
              <w:rPr>
                <w:snapToGrid w:val="0"/>
                <w:kern w:val="0"/>
                <w:sz w:val="15"/>
                <w:szCs w:val="15"/>
                <w:highlight w:val="none"/>
                <w:lang w:val="en-US" w:eastAsia="zh-CN" w:bidi="ar-SA"/>
              </w:rPr>
            </w:pPr>
            <w:r>
              <w:rPr>
                <w:rFonts w:hint="eastAsia"/>
                <w:color w:val="auto"/>
                <w:kern w:val="2"/>
                <w:sz w:val="15"/>
                <w:szCs w:val="15"/>
                <w:highlight w:val="none"/>
                <w:lang w:val="en-US" w:eastAsia="zh-CN" w:bidi="ar-SA"/>
              </w:rPr>
              <w:t xml:space="preserve">4,577,223.77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增加：</w:t>
            </w:r>
          </w:p>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Add:</w:t>
            </w:r>
          </w:p>
        </w:tc>
        <w:tc>
          <w:tcPr>
            <w:tcW w:w="3305"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57,217,893.16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本期世行回补总额</w:t>
            </w:r>
          </w:p>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Total Amount Deposited this Period by World Bank</w:t>
            </w:r>
          </w:p>
        </w:tc>
        <w:tc>
          <w:tcPr>
            <w:tcW w:w="3305"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57,214,875.45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本期利息收入总额（存入指定账户部分）</w:t>
            </w:r>
          </w:p>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Total Interest Earned this Period if Deposited in Designated Account</w:t>
            </w:r>
          </w:p>
        </w:tc>
        <w:tc>
          <w:tcPr>
            <w:tcW w:w="3305"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3,017.71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本期不合格支出归还总额</w:t>
            </w:r>
          </w:p>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 xml:space="preserve">Total Amount Refunded this Period to Cover Ineligible Expenditures </w:t>
            </w:r>
          </w:p>
        </w:tc>
        <w:tc>
          <w:tcPr>
            <w:tcW w:w="3305" w:type="dxa"/>
            <w:vAlign w:val="center"/>
          </w:tcPr>
          <w:p>
            <w:pPr>
              <w:pStyle w:val="24"/>
              <w:jc w:val="right"/>
              <w:rPr>
                <w:snapToGrid w:val="0"/>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减少：</w:t>
            </w:r>
          </w:p>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Deduct:</w:t>
            </w:r>
          </w:p>
        </w:tc>
        <w:tc>
          <w:tcPr>
            <w:tcW w:w="3305"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57,123,582.60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本期支付总额</w:t>
            </w:r>
          </w:p>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Total Amount Withdrawn this Period</w:t>
            </w:r>
          </w:p>
        </w:tc>
        <w:tc>
          <w:tcPr>
            <w:tcW w:w="3305" w:type="dxa"/>
            <w:vAlign w:val="center"/>
          </w:tcPr>
          <w:p>
            <w:pPr>
              <w:pStyle w:val="24"/>
              <w:jc w:val="right"/>
              <w:rPr>
                <w:rFonts w:hint="default"/>
                <w:color w:val="auto"/>
                <w:kern w:val="2"/>
                <w:sz w:val="15"/>
                <w:szCs w:val="15"/>
                <w:highlight w:val="none"/>
                <w:lang w:val="en-US" w:eastAsia="zh-CN" w:bidi="ar-SA"/>
              </w:rPr>
            </w:pPr>
            <w:r>
              <w:rPr>
                <w:rFonts w:hint="default"/>
                <w:color w:val="auto"/>
                <w:kern w:val="2"/>
                <w:sz w:val="15"/>
                <w:szCs w:val="15"/>
                <w:highlight w:val="none"/>
                <w:lang w:val="en-US" w:eastAsia="zh-CN" w:bidi="ar-SA"/>
              </w:rPr>
              <w:t xml:space="preserve"> 57,123,447.60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本期未包括在支付额中的服务费支出</w:t>
            </w:r>
          </w:p>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Total Service Charges this Period if not Included in Above Amount Withdrawn</w:t>
            </w:r>
          </w:p>
        </w:tc>
        <w:tc>
          <w:tcPr>
            <w:tcW w:w="3305" w:type="dxa"/>
            <w:vAlign w:val="top"/>
          </w:tcPr>
          <w:p>
            <w:pPr>
              <w:pStyle w:val="24"/>
              <w:jc w:val="right"/>
              <w:rPr>
                <w:snapToGrid w:val="0"/>
                <w:kern w:val="0"/>
                <w:sz w:val="15"/>
                <w:szCs w:val="15"/>
                <w:highlight w:val="none"/>
                <w:lang w:val="en-US" w:eastAsia="zh-CN" w:bidi="ar-SA"/>
              </w:rPr>
            </w:pPr>
            <w:r>
              <w:rPr>
                <w:rFonts w:hint="eastAsia"/>
                <w:color w:val="auto"/>
                <w:kern w:val="2"/>
                <w:sz w:val="15"/>
                <w:szCs w:val="15"/>
                <w:highlight w:val="none"/>
                <w:lang w:val="en-US" w:eastAsia="zh-CN" w:bidi="ar-SA"/>
              </w:rPr>
              <w:t xml:space="preserve"> 135.00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期末余额</w:t>
            </w:r>
          </w:p>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 xml:space="preserve">Ending Balance </w:t>
            </w:r>
          </w:p>
        </w:tc>
        <w:tc>
          <w:tcPr>
            <w:tcW w:w="3305" w:type="dxa"/>
            <w:vAlign w:val="top"/>
          </w:tcPr>
          <w:p>
            <w:pPr>
              <w:pStyle w:val="24"/>
              <w:jc w:val="right"/>
              <w:rPr>
                <w:kern w:val="2"/>
                <w:sz w:val="15"/>
                <w:szCs w:val="15"/>
                <w:highlight w:val="none"/>
                <w:lang w:val="en-US" w:eastAsia="zh-CN" w:bidi="ar-SA"/>
              </w:rPr>
            </w:pPr>
            <w:r>
              <w:rPr>
                <w:kern w:val="2"/>
                <w:sz w:val="15"/>
                <w:szCs w:val="15"/>
                <w:highlight w:val="none"/>
                <w:lang w:val="en-US" w:eastAsia="zh-CN" w:bidi="ar-SA"/>
              </w:rPr>
              <w:t xml:space="preserve">                                      </w:t>
            </w:r>
            <w:r>
              <w:rPr>
                <w:rFonts w:hint="eastAsia"/>
                <w:kern w:val="2"/>
                <w:sz w:val="15"/>
                <w:szCs w:val="15"/>
                <w:highlight w:val="none"/>
                <w:lang w:val="en-US" w:eastAsia="zh-CN" w:bidi="ar-SA"/>
              </w:rPr>
              <w:t xml:space="preserve"> </w:t>
            </w:r>
            <w:r>
              <w:rPr>
                <w:rFonts w:hint="eastAsia"/>
                <w:color w:val="auto"/>
                <w:kern w:val="2"/>
                <w:sz w:val="15"/>
                <w:szCs w:val="15"/>
                <w:highlight w:val="none"/>
                <w:lang w:val="en-US" w:eastAsia="zh-CN" w:bidi="ar-SA"/>
              </w:rPr>
              <w:t xml:space="preserve"> 4,671,534.33</w:t>
            </w:r>
            <w:r>
              <w:rPr>
                <w:rFonts w:hint="eastAsia"/>
                <w:kern w:val="2"/>
                <w:sz w:val="15"/>
                <w:szCs w:val="15"/>
                <w:highlight w:val="none"/>
                <w:lang w:val="en-US" w:eastAsia="zh-CN" w:bidi="ar-SA"/>
              </w:rPr>
              <w:t xml:space="preserve"> </w:t>
            </w:r>
          </w:p>
          <w:p>
            <w:pPr>
              <w:pStyle w:val="24"/>
              <w:jc w:val="right"/>
              <w:rPr>
                <w:snapToGrid w:val="0"/>
                <w:kern w:val="0"/>
                <w:sz w:val="15"/>
                <w:szCs w:val="15"/>
                <w:highlight w:val="none"/>
                <w:lang w:val="en-US" w:eastAsia="zh-CN" w:bidi="ar-SA"/>
              </w:rPr>
            </w:pPr>
          </w:p>
        </w:tc>
      </w:tr>
    </w:tbl>
    <w:p>
      <w:pPr>
        <w:pStyle w:val="24"/>
        <w:tabs>
          <w:tab w:val="left" w:pos="7140"/>
        </w:tabs>
        <w:autoSpaceDE w:val="0"/>
        <w:autoSpaceDN w:val="0"/>
        <w:adjustRightInd w:val="0"/>
        <w:jc w:val="left"/>
        <w:rPr>
          <w:rFonts w:eastAsia="仿宋_GB2312"/>
          <w:snapToGrid w:val="0"/>
          <w:kern w:val="0"/>
          <w:sz w:val="21"/>
          <w:highlight w:val="none"/>
          <w:lang w:val="en-US" w:eastAsia="zh-CN" w:bidi="ar-SA"/>
        </w:rPr>
      </w:pPr>
      <w:r>
        <w:rPr>
          <w:snapToGrid w:val="0"/>
          <w:kern w:val="0"/>
          <w:sz w:val="21"/>
          <w:szCs w:val="21"/>
          <w:highlight w:val="none"/>
          <w:lang w:val="en-US" w:eastAsia="zh-CN" w:bidi="ar-SA"/>
        </w:rPr>
        <w:t>（</w:t>
      </w:r>
      <w:r>
        <w:rPr>
          <w:rFonts w:eastAsia="仿宋_GB2312"/>
          <w:snapToGrid w:val="0"/>
          <w:kern w:val="0"/>
          <w:sz w:val="21"/>
          <w:szCs w:val="21"/>
          <w:highlight w:val="none"/>
          <w:lang w:val="en-US" w:eastAsia="zh-CN" w:bidi="ar-SA"/>
        </w:rPr>
        <w:t>后续</w:t>
      </w:r>
      <w:r>
        <w:rPr>
          <w:snapToGrid w:val="0"/>
          <w:kern w:val="0"/>
          <w:sz w:val="21"/>
          <w:szCs w:val="21"/>
          <w:highlight w:val="none"/>
          <w:lang w:val="en-US" w:eastAsia="zh-CN" w:bidi="ar-SA"/>
        </w:rPr>
        <w:t>To be continued）</w:t>
      </w:r>
    </w:p>
    <w:p>
      <w:pPr>
        <w:pStyle w:val="24"/>
        <w:tabs>
          <w:tab w:val="left" w:pos="7140"/>
        </w:tabs>
        <w:autoSpaceDE w:val="0"/>
        <w:autoSpaceDN w:val="0"/>
        <w:adjustRightInd w:val="0"/>
        <w:rPr>
          <w:rFonts w:eastAsia="仿宋_GB2312"/>
          <w:snapToGrid w:val="0"/>
          <w:kern w:val="0"/>
          <w:sz w:val="21"/>
          <w:highlight w:val="none"/>
          <w:lang w:val="en-US" w:eastAsia="zh-CN" w:bidi="ar-SA"/>
        </w:rPr>
      </w:pPr>
      <w:r>
        <w:rPr>
          <w:rFonts w:eastAsia="仿宋_GB2312"/>
          <w:snapToGrid w:val="0"/>
          <w:kern w:val="0"/>
          <w:sz w:val="21"/>
          <w:highlight w:val="none"/>
          <w:lang w:val="en-US" w:eastAsia="zh-CN" w:bidi="ar-SA"/>
        </w:rPr>
        <w:br w:type="page"/>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3"/>
        <w:gridCol w:w="2633"/>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pStyle w:val="24"/>
              <w:spacing w:line="216"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B部分：指定账户调节</w:t>
            </w:r>
          </w:p>
          <w:p>
            <w:pPr>
              <w:pStyle w:val="24"/>
              <w:spacing w:line="216"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Part B-Account Reconciliation</w:t>
            </w:r>
          </w:p>
        </w:tc>
        <w:tc>
          <w:tcPr>
            <w:tcW w:w="3305" w:type="dxa"/>
            <w:tcBorders>
              <w:top w:val="single" w:color="auto" w:sz="4" w:space="0"/>
              <w:left w:val="single" w:color="auto" w:sz="4" w:space="0"/>
              <w:bottom w:val="single" w:color="auto" w:sz="4" w:space="0"/>
              <w:right w:val="single" w:color="auto" w:sz="4" w:space="0"/>
            </w:tcBorders>
            <w:vAlign w:val="center"/>
          </w:tcPr>
          <w:p>
            <w:pPr>
              <w:pStyle w:val="24"/>
              <w:jc w:val="center"/>
              <w:rPr>
                <w:snapToGrid w:val="0"/>
                <w:kern w:val="0"/>
                <w:sz w:val="15"/>
                <w:szCs w:val="15"/>
                <w:highlight w:val="none"/>
                <w:lang w:val="en-US" w:eastAsia="zh-CN" w:bidi="ar-SA"/>
              </w:rPr>
            </w:pPr>
            <w:r>
              <w:rPr>
                <w:snapToGrid w:val="0"/>
                <w:kern w:val="0"/>
                <w:sz w:val="15"/>
                <w:szCs w:val="15"/>
                <w:highlight w:val="none"/>
                <w:lang w:val="en-US" w:eastAsia="zh-CN" w:bidi="ar-SA"/>
              </w:rPr>
              <w:t>金  额</w:t>
            </w:r>
          </w:p>
          <w:p>
            <w:pPr>
              <w:pStyle w:val="24"/>
              <w:jc w:val="center"/>
              <w:rPr>
                <w:snapToGrid w:val="0"/>
                <w:kern w:val="0"/>
                <w:sz w:val="15"/>
                <w:szCs w:val="15"/>
                <w:highlight w:val="none"/>
                <w:lang w:val="en-US" w:eastAsia="zh-CN" w:bidi="ar-SA"/>
              </w:rPr>
            </w:pPr>
            <w:r>
              <w:rPr>
                <w:snapToGrid w:val="0"/>
                <w:kern w:val="0"/>
                <w:sz w:val="15"/>
                <w:szCs w:val="15"/>
                <w:highlight w:val="none"/>
                <w:lang w:val="en-US" w:eastAsia="zh-CN" w:bidi="ar-SA"/>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 xml:space="preserve">1. 世行首次存款总额  </w:t>
            </w:r>
          </w:p>
          <w:p>
            <w:pPr>
              <w:pStyle w:val="24"/>
              <w:spacing w:line="216" w:lineRule="exact"/>
              <w:ind w:firstLine="150" w:firstLineChars="100"/>
              <w:rPr>
                <w:snapToGrid w:val="0"/>
                <w:kern w:val="0"/>
                <w:sz w:val="15"/>
                <w:szCs w:val="15"/>
                <w:highlight w:val="none"/>
                <w:lang w:val="en-US" w:eastAsia="zh-CN" w:bidi="ar-SA"/>
              </w:rPr>
            </w:pPr>
            <w:r>
              <w:rPr>
                <w:snapToGrid w:val="0"/>
                <w:kern w:val="0"/>
                <w:sz w:val="15"/>
                <w:szCs w:val="15"/>
                <w:highlight w:val="none"/>
                <w:lang w:val="en-US" w:eastAsia="zh-CN" w:bidi="ar-SA"/>
              </w:rPr>
              <w:t>Amount Advanced by World Bank</w:t>
            </w:r>
          </w:p>
        </w:tc>
        <w:tc>
          <w:tcPr>
            <w:tcW w:w="3305" w:type="dxa"/>
            <w:tcBorders>
              <w:top w:val="single" w:color="auto" w:sz="4" w:space="0"/>
              <w:left w:val="single" w:color="auto" w:sz="4" w:space="0"/>
              <w:bottom w:val="single" w:color="auto" w:sz="4" w:space="0"/>
              <w:right w:val="single" w:color="auto" w:sz="4" w:space="0"/>
            </w:tcBorders>
            <w:vAlign w:val="center"/>
          </w:tcPr>
          <w:p>
            <w:pPr>
              <w:pStyle w:val="24"/>
              <w:jc w:val="right"/>
              <w:rPr>
                <w:color w:val="auto"/>
                <w:kern w:val="2"/>
                <w:sz w:val="15"/>
                <w:szCs w:val="15"/>
                <w:highlight w:val="none"/>
                <w:lang w:val="en-US" w:eastAsia="zh-CN" w:bidi="ar-SA"/>
              </w:rPr>
            </w:pPr>
            <w:r>
              <w:rPr>
                <w:color w:val="auto"/>
                <w:kern w:val="2"/>
                <w:sz w:val="15"/>
                <w:szCs w:val="15"/>
                <w:highlight w:val="none"/>
                <w:lang w:val="en-US" w:eastAsia="zh-CN" w:bidi="ar-SA"/>
              </w:rPr>
              <w:t xml:space="preserve">                                      </w:t>
            </w:r>
            <w:r>
              <w:rPr>
                <w:rFonts w:hint="eastAsia"/>
                <w:color w:val="auto"/>
                <w:kern w:val="2"/>
                <w:sz w:val="15"/>
                <w:szCs w:val="15"/>
                <w:highlight w:val="none"/>
                <w:lang w:val="en-US" w:eastAsia="zh-CN" w:bidi="ar-SA"/>
              </w:rPr>
              <w:t xml:space="preserve">  10,000,000.00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pStyle w:val="24"/>
              <w:spacing w:line="216" w:lineRule="exact"/>
              <w:ind w:firstLine="150" w:firstLineChars="100"/>
              <w:rPr>
                <w:snapToGrid w:val="0"/>
                <w:kern w:val="0"/>
                <w:sz w:val="15"/>
                <w:szCs w:val="15"/>
                <w:highlight w:val="none"/>
                <w:lang w:val="en-US" w:eastAsia="zh-CN" w:bidi="ar-SA"/>
              </w:rPr>
            </w:pPr>
            <w:r>
              <w:rPr>
                <w:snapToGrid w:val="0"/>
                <w:kern w:val="0"/>
                <w:sz w:val="15"/>
                <w:szCs w:val="15"/>
                <w:highlight w:val="none"/>
                <w:lang w:val="en-US" w:eastAsia="zh-CN" w:bidi="ar-SA"/>
              </w:rPr>
              <w:t>减少：</w:t>
            </w:r>
          </w:p>
          <w:p>
            <w:pPr>
              <w:pStyle w:val="24"/>
              <w:spacing w:line="216" w:lineRule="exact"/>
              <w:ind w:firstLine="150" w:firstLineChars="100"/>
              <w:rPr>
                <w:snapToGrid w:val="0"/>
                <w:kern w:val="0"/>
                <w:sz w:val="15"/>
                <w:szCs w:val="15"/>
                <w:highlight w:val="none"/>
                <w:lang w:val="en-US" w:eastAsia="zh-CN" w:bidi="ar-SA"/>
              </w:rPr>
            </w:pPr>
            <w:r>
              <w:rPr>
                <w:snapToGrid w:val="0"/>
                <w:kern w:val="0"/>
                <w:sz w:val="15"/>
                <w:szCs w:val="15"/>
                <w:highlight w:val="none"/>
                <w:lang w:val="en-US" w:eastAsia="zh-CN" w:bidi="ar-SA"/>
              </w:rPr>
              <w:t>Deduct:</w:t>
            </w:r>
          </w:p>
        </w:tc>
        <w:tc>
          <w:tcPr>
            <w:tcW w:w="3305" w:type="dxa"/>
            <w:tcBorders>
              <w:top w:val="single" w:color="auto" w:sz="4" w:space="0"/>
              <w:left w:val="single" w:color="auto" w:sz="4" w:space="0"/>
              <w:bottom w:val="single" w:color="auto" w:sz="4" w:space="0"/>
              <w:right w:val="single" w:color="auto" w:sz="4" w:space="0"/>
            </w:tcBorders>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2. 世界银行回收总额</w:t>
            </w:r>
          </w:p>
          <w:p>
            <w:pPr>
              <w:pStyle w:val="24"/>
              <w:spacing w:line="216" w:lineRule="exact"/>
              <w:ind w:firstLine="150" w:firstLineChars="100"/>
              <w:rPr>
                <w:snapToGrid w:val="0"/>
                <w:kern w:val="0"/>
                <w:sz w:val="15"/>
                <w:szCs w:val="15"/>
                <w:highlight w:val="none"/>
                <w:lang w:val="en-US" w:eastAsia="zh-CN" w:bidi="ar-SA"/>
              </w:rPr>
            </w:pPr>
            <w:r>
              <w:rPr>
                <w:snapToGrid w:val="0"/>
                <w:kern w:val="0"/>
                <w:sz w:val="15"/>
                <w:szCs w:val="15"/>
                <w:highlight w:val="none"/>
                <w:lang w:val="en-US" w:eastAsia="zh-CN" w:bidi="ar-SA"/>
              </w:rPr>
              <w:t>Total Amount Recovered by World Bank</w:t>
            </w:r>
          </w:p>
        </w:tc>
        <w:tc>
          <w:tcPr>
            <w:tcW w:w="3305" w:type="dxa"/>
            <w:tcBorders>
              <w:top w:val="single" w:color="auto" w:sz="4" w:space="0"/>
              <w:left w:val="single" w:color="auto" w:sz="4" w:space="0"/>
              <w:bottom w:val="single" w:color="auto" w:sz="4" w:space="0"/>
              <w:right w:val="single" w:color="auto" w:sz="4" w:space="0"/>
            </w:tcBorders>
            <w:vAlign w:val="center"/>
          </w:tcPr>
          <w:p>
            <w:pPr>
              <w:pStyle w:val="24"/>
              <w:jc w:val="right"/>
              <w:rPr>
                <w:snapToGrid w:val="0"/>
                <w:kern w:val="0"/>
                <w:sz w:val="15"/>
                <w:szCs w:val="15"/>
                <w:highlight w:val="none"/>
                <w:lang w:val="en-US" w:eastAsia="zh-CN" w:bidi="ar-SA"/>
              </w:rPr>
            </w:pPr>
            <w:r>
              <w:rPr>
                <w:kern w:val="2"/>
                <w:sz w:val="15"/>
                <w:szCs w:val="15"/>
                <w:highlight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3. 本期期末指定账户首次存款净额</w:t>
            </w:r>
          </w:p>
          <w:p>
            <w:pPr>
              <w:pStyle w:val="24"/>
              <w:spacing w:line="216" w:lineRule="exact"/>
              <w:ind w:left="151" w:leftChars="72"/>
              <w:rPr>
                <w:snapToGrid w:val="0"/>
                <w:kern w:val="0"/>
                <w:sz w:val="15"/>
                <w:szCs w:val="15"/>
                <w:highlight w:val="none"/>
                <w:lang w:val="en-US" w:eastAsia="zh-CN" w:bidi="ar-SA"/>
              </w:rPr>
            </w:pPr>
            <w:r>
              <w:rPr>
                <w:snapToGrid w:val="0"/>
                <w:kern w:val="0"/>
                <w:sz w:val="15"/>
                <w:szCs w:val="15"/>
                <w:highlight w:val="none"/>
                <w:lang w:val="en-US" w:eastAsia="zh-CN" w:bidi="ar-SA"/>
              </w:rPr>
              <w:t>Outstanding Amount Advanced to the Designated Account at the End of this Period</w:t>
            </w:r>
          </w:p>
        </w:tc>
        <w:tc>
          <w:tcPr>
            <w:tcW w:w="3305" w:type="dxa"/>
            <w:tcBorders>
              <w:top w:val="single" w:color="auto" w:sz="4" w:space="0"/>
              <w:left w:val="single" w:color="auto" w:sz="4" w:space="0"/>
              <w:bottom w:val="single" w:color="auto" w:sz="4" w:space="0"/>
              <w:right w:val="single" w:color="auto" w:sz="4" w:space="0"/>
            </w:tcBorders>
            <w:vAlign w:val="center"/>
          </w:tcPr>
          <w:p>
            <w:pPr>
              <w:pStyle w:val="24"/>
              <w:jc w:val="right"/>
              <w:rPr>
                <w:snapToGrid w:val="0"/>
                <w:kern w:val="0"/>
                <w:sz w:val="15"/>
                <w:szCs w:val="15"/>
                <w:highlight w:val="none"/>
                <w:lang w:val="en-US" w:eastAsia="zh-CN" w:bidi="ar-SA"/>
              </w:rPr>
            </w:pPr>
            <w:r>
              <w:rPr>
                <w:rFonts w:hint="eastAsia"/>
                <w:color w:val="auto"/>
                <w:kern w:val="2"/>
                <w:sz w:val="15"/>
                <w:szCs w:val="15"/>
                <w:highlight w:val="none"/>
                <w:lang w:val="en-US" w:eastAsia="zh-CN" w:bidi="ar-SA"/>
              </w:rPr>
              <w:t xml:space="preserve">10,000,000.00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4. 指定账户期末余额</w:t>
            </w:r>
          </w:p>
          <w:p>
            <w:pPr>
              <w:pStyle w:val="24"/>
              <w:spacing w:line="216" w:lineRule="exact"/>
              <w:ind w:firstLine="150" w:firstLineChars="100"/>
              <w:rPr>
                <w:snapToGrid w:val="0"/>
                <w:kern w:val="0"/>
                <w:sz w:val="15"/>
                <w:szCs w:val="15"/>
                <w:highlight w:val="none"/>
                <w:lang w:val="en-US" w:eastAsia="zh-CN" w:bidi="ar-SA"/>
              </w:rPr>
            </w:pPr>
            <w:r>
              <w:rPr>
                <w:snapToGrid w:val="0"/>
                <w:kern w:val="0"/>
                <w:sz w:val="15"/>
                <w:szCs w:val="15"/>
                <w:highlight w:val="none"/>
                <w:lang w:val="en-US" w:eastAsia="zh-CN" w:bidi="ar-SA"/>
              </w:rPr>
              <w:t xml:space="preserve">Ending Balance of Designated Account </w:t>
            </w:r>
          </w:p>
        </w:tc>
        <w:tc>
          <w:tcPr>
            <w:tcW w:w="3305" w:type="dxa"/>
            <w:tcBorders>
              <w:top w:val="single" w:color="auto" w:sz="4" w:space="0"/>
              <w:left w:val="single" w:color="auto" w:sz="4" w:space="0"/>
              <w:bottom w:val="single" w:color="auto" w:sz="4" w:space="0"/>
              <w:right w:val="single" w:color="auto" w:sz="4" w:space="0"/>
            </w:tcBorders>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4,671,534.33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pStyle w:val="24"/>
              <w:spacing w:line="216" w:lineRule="exact"/>
              <w:ind w:firstLine="150" w:firstLineChars="100"/>
              <w:rPr>
                <w:snapToGrid w:val="0"/>
                <w:kern w:val="0"/>
                <w:sz w:val="15"/>
                <w:szCs w:val="15"/>
                <w:highlight w:val="none"/>
                <w:lang w:val="en-US" w:eastAsia="zh-CN" w:bidi="ar-SA"/>
              </w:rPr>
            </w:pPr>
            <w:r>
              <w:rPr>
                <w:snapToGrid w:val="0"/>
                <w:kern w:val="0"/>
                <w:sz w:val="15"/>
                <w:szCs w:val="15"/>
                <w:highlight w:val="none"/>
                <w:lang w:val="en-US" w:eastAsia="zh-CN" w:bidi="ar-SA"/>
              </w:rPr>
              <w:t>增加：</w:t>
            </w:r>
          </w:p>
          <w:p>
            <w:pPr>
              <w:pStyle w:val="24"/>
              <w:spacing w:line="216" w:lineRule="exact"/>
              <w:ind w:firstLine="150" w:firstLineChars="100"/>
              <w:rPr>
                <w:snapToGrid w:val="0"/>
                <w:kern w:val="0"/>
                <w:sz w:val="15"/>
                <w:szCs w:val="15"/>
                <w:highlight w:val="none"/>
                <w:lang w:val="en-US" w:eastAsia="zh-CN" w:bidi="ar-SA"/>
              </w:rPr>
            </w:pPr>
            <w:r>
              <w:rPr>
                <w:snapToGrid w:val="0"/>
                <w:kern w:val="0"/>
                <w:sz w:val="15"/>
                <w:szCs w:val="15"/>
                <w:highlight w:val="none"/>
                <w:lang w:val="en-US" w:eastAsia="zh-CN" w:bidi="ar-SA"/>
              </w:rPr>
              <w:t>Add:</w:t>
            </w:r>
          </w:p>
        </w:tc>
        <w:tc>
          <w:tcPr>
            <w:tcW w:w="3305" w:type="dxa"/>
            <w:tcBorders>
              <w:top w:val="single" w:color="auto" w:sz="4" w:space="0"/>
              <w:left w:val="single" w:color="auto" w:sz="4" w:space="0"/>
              <w:bottom w:val="single" w:color="auto" w:sz="4" w:space="0"/>
              <w:right w:val="single" w:color="auto" w:sz="4" w:space="0"/>
            </w:tcBorders>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5,333,203.95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5. 截至本期期末已申请报账但尚未回补金额</w:t>
            </w:r>
          </w:p>
          <w:p>
            <w:pPr>
              <w:pStyle w:val="24"/>
              <w:spacing w:line="216" w:lineRule="exact"/>
              <w:ind w:firstLine="150" w:firstLineChars="100"/>
              <w:rPr>
                <w:snapToGrid w:val="0"/>
                <w:kern w:val="0"/>
                <w:sz w:val="15"/>
                <w:szCs w:val="15"/>
                <w:highlight w:val="none"/>
                <w:lang w:val="en-US" w:eastAsia="zh-CN" w:bidi="ar-SA"/>
              </w:rPr>
            </w:pPr>
            <w:r>
              <w:rPr>
                <w:snapToGrid w:val="0"/>
                <w:kern w:val="0"/>
                <w:sz w:val="15"/>
                <w:szCs w:val="15"/>
                <w:highlight w:val="none"/>
                <w:lang w:val="en-US" w:eastAsia="zh-CN" w:bidi="ar-SA"/>
              </w:rPr>
              <w:t>Amount Claimed but not yet Credited at the End of this Period</w:t>
            </w:r>
          </w:p>
        </w:tc>
        <w:tc>
          <w:tcPr>
            <w:tcW w:w="3305" w:type="dxa"/>
            <w:tcBorders>
              <w:top w:val="single" w:color="auto" w:sz="4" w:space="0"/>
              <w:left w:val="single" w:color="auto" w:sz="4" w:space="0"/>
              <w:bottom w:val="single" w:color="auto" w:sz="4" w:space="0"/>
              <w:right w:val="single" w:color="auto" w:sz="4" w:space="0"/>
            </w:tcBorders>
            <w:vAlign w:val="center"/>
          </w:tcPr>
          <w:p>
            <w:pPr>
              <w:pStyle w:val="24"/>
              <w:jc w:val="right"/>
              <w:rPr>
                <w:snapToGrid w:val="0"/>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3123" w:type="dxa"/>
            <w:vAlign w:val="center"/>
          </w:tcPr>
          <w:p>
            <w:pPr>
              <w:pStyle w:val="24"/>
              <w:spacing w:line="216"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申请书号</w:t>
            </w:r>
          </w:p>
          <w:p>
            <w:pPr>
              <w:pStyle w:val="24"/>
              <w:spacing w:line="216" w:lineRule="exact"/>
              <w:jc w:val="center"/>
              <w:rPr>
                <w:snapToGrid w:val="0"/>
                <w:kern w:val="0"/>
                <w:sz w:val="15"/>
                <w:szCs w:val="15"/>
                <w:highlight w:val="none"/>
                <w:lang w:val="en-US" w:eastAsia="zh-CN" w:bidi="ar-SA"/>
              </w:rPr>
            </w:pPr>
            <w:r>
              <w:rPr>
                <w:snapToGrid w:val="0"/>
                <w:kern w:val="0"/>
                <w:sz w:val="15"/>
                <w:szCs w:val="15"/>
                <w:highlight w:val="none"/>
                <w:lang w:val="en-US" w:eastAsia="zh-CN" w:bidi="ar-SA"/>
              </w:rPr>
              <w:t>Application No.</w:t>
            </w:r>
          </w:p>
        </w:tc>
        <w:tc>
          <w:tcPr>
            <w:tcW w:w="2633" w:type="dxa"/>
            <w:vAlign w:val="center"/>
          </w:tcPr>
          <w:p>
            <w:pPr>
              <w:pStyle w:val="29"/>
              <w:rPr>
                <w:bCs/>
                <w:snapToGrid w:val="0"/>
                <w:color w:val="auto"/>
                <w:kern w:val="0"/>
                <w:sz w:val="15"/>
                <w:szCs w:val="15"/>
                <w:highlight w:val="none"/>
                <w:lang w:val="en-US" w:eastAsia="zh-CN" w:bidi="ar-SA"/>
              </w:rPr>
            </w:pPr>
          </w:p>
        </w:tc>
        <w:tc>
          <w:tcPr>
            <w:tcW w:w="3305" w:type="dxa"/>
            <w:vAlign w:val="center"/>
          </w:tcPr>
          <w:p>
            <w:pPr>
              <w:pStyle w:val="29"/>
              <w:rPr>
                <w:rFonts w:eastAsia="Times New Roman"/>
                <w:bCs/>
                <w:snapToGrid w:val="0"/>
                <w:color w:val="000000"/>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6. 截至本期期末已支付但尚未申请报账金额</w:t>
            </w:r>
          </w:p>
          <w:p>
            <w:pPr>
              <w:pStyle w:val="24"/>
              <w:spacing w:line="216" w:lineRule="exact"/>
              <w:ind w:firstLine="150" w:firstLineChars="100"/>
              <w:rPr>
                <w:snapToGrid w:val="0"/>
                <w:kern w:val="0"/>
                <w:sz w:val="15"/>
                <w:szCs w:val="15"/>
                <w:highlight w:val="none"/>
                <w:lang w:val="en-US" w:eastAsia="zh-CN" w:bidi="ar-SA"/>
              </w:rPr>
            </w:pPr>
            <w:r>
              <w:rPr>
                <w:snapToGrid w:val="0"/>
                <w:kern w:val="0"/>
                <w:sz w:val="15"/>
                <w:szCs w:val="15"/>
                <w:highlight w:val="none"/>
                <w:lang w:val="en-US" w:eastAsia="zh-CN" w:bidi="ar-SA"/>
              </w:rPr>
              <w:t>Amount Withdrawn but not yet Claimed at the End of this Period</w:t>
            </w:r>
          </w:p>
        </w:tc>
        <w:tc>
          <w:tcPr>
            <w:tcW w:w="3305" w:type="dxa"/>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5,333,068.95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 xml:space="preserve">7. 服务费累计支出（如未含在5和6栏中）   </w:t>
            </w:r>
          </w:p>
          <w:p>
            <w:pPr>
              <w:pStyle w:val="24"/>
              <w:spacing w:line="216" w:lineRule="exact"/>
              <w:ind w:firstLine="150" w:firstLineChars="100"/>
              <w:rPr>
                <w:snapToGrid w:val="0"/>
                <w:kern w:val="0"/>
                <w:sz w:val="15"/>
                <w:szCs w:val="15"/>
                <w:highlight w:val="none"/>
                <w:lang w:val="en-US" w:eastAsia="zh-CN" w:bidi="ar-SA"/>
              </w:rPr>
            </w:pPr>
            <w:r>
              <w:rPr>
                <w:snapToGrid w:val="0"/>
                <w:kern w:val="0"/>
                <w:sz w:val="15"/>
                <w:szCs w:val="15"/>
                <w:highlight w:val="none"/>
                <w:lang w:val="en-US" w:eastAsia="zh-CN" w:bidi="ar-SA"/>
              </w:rPr>
              <w:t>Cumulative Service Charges (If not Included in Item 5 or 6)</w:t>
            </w:r>
          </w:p>
        </w:tc>
        <w:tc>
          <w:tcPr>
            <w:tcW w:w="3305" w:type="dxa"/>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135.00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vAlign w:val="bottom"/>
          </w:tcPr>
          <w:p>
            <w:pPr>
              <w:pStyle w:val="24"/>
              <w:spacing w:line="216" w:lineRule="exact"/>
              <w:ind w:firstLine="150" w:firstLineChars="100"/>
              <w:rPr>
                <w:snapToGrid w:val="0"/>
                <w:kern w:val="0"/>
                <w:sz w:val="15"/>
                <w:szCs w:val="15"/>
                <w:highlight w:val="none"/>
                <w:lang w:val="en-US" w:eastAsia="zh-CN" w:bidi="ar-SA"/>
              </w:rPr>
            </w:pPr>
            <w:r>
              <w:rPr>
                <w:snapToGrid w:val="0"/>
                <w:kern w:val="0"/>
                <w:sz w:val="15"/>
                <w:szCs w:val="15"/>
                <w:highlight w:val="none"/>
                <w:lang w:val="en-US" w:eastAsia="zh-CN" w:bidi="ar-SA"/>
              </w:rPr>
              <w:t>减少：</w:t>
            </w:r>
          </w:p>
          <w:p>
            <w:pPr>
              <w:pStyle w:val="24"/>
              <w:spacing w:line="216" w:lineRule="exact"/>
              <w:ind w:firstLine="150" w:firstLineChars="100"/>
              <w:rPr>
                <w:snapToGrid w:val="0"/>
                <w:kern w:val="0"/>
                <w:sz w:val="15"/>
                <w:szCs w:val="15"/>
                <w:highlight w:val="none"/>
                <w:lang w:val="en-US" w:eastAsia="zh-CN" w:bidi="ar-SA"/>
              </w:rPr>
            </w:pPr>
            <w:r>
              <w:rPr>
                <w:snapToGrid w:val="0"/>
                <w:kern w:val="0"/>
                <w:sz w:val="15"/>
                <w:szCs w:val="15"/>
                <w:highlight w:val="none"/>
                <w:lang w:val="en-US" w:eastAsia="zh-CN" w:bidi="ar-SA"/>
              </w:rPr>
              <w:t>Deduct:</w:t>
            </w:r>
          </w:p>
        </w:tc>
        <w:tc>
          <w:tcPr>
            <w:tcW w:w="3305" w:type="dxa"/>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4,738.28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8. 利息收入（存入指定账户部分）</w:t>
            </w:r>
          </w:p>
          <w:p>
            <w:pPr>
              <w:pStyle w:val="24"/>
              <w:spacing w:line="216" w:lineRule="exact"/>
              <w:ind w:firstLine="150" w:firstLineChars="100"/>
              <w:rPr>
                <w:snapToGrid w:val="0"/>
                <w:kern w:val="0"/>
                <w:sz w:val="15"/>
                <w:szCs w:val="15"/>
                <w:highlight w:val="none"/>
                <w:lang w:val="en-US" w:eastAsia="zh-CN" w:bidi="ar-SA"/>
              </w:rPr>
            </w:pPr>
            <w:r>
              <w:rPr>
                <w:snapToGrid w:val="0"/>
                <w:kern w:val="0"/>
                <w:sz w:val="15"/>
                <w:szCs w:val="15"/>
                <w:highlight w:val="none"/>
                <w:lang w:val="en-US" w:eastAsia="zh-CN" w:bidi="ar-SA"/>
              </w:rPr>
              <w:t>Interest Earned (If Included in Designated Account)</w:t>
            </w:r>
          </w:p>
        </w:tc>
        <w:tc>
          <w:tcPr>
            <w:tcW w:w="3305" w:type="dxa"/>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4,738.28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vAlign w:val="bottom"/>
          </w:tcPr>
          <w:p>
            <w:pPr>
              <w:pStyle w:val="24"/>
              <w:spacing w:line="216" w:lineRule="exact"/>
              <w:rPr>
                <w:snapToGrid w:val="0"/>
                <w:kern w:val="0"/>
                <w:sz w:val="15"/>
                <w:szCs w:val="15"/>
                <w:highlight w:val="none"/>
                <w:lang w:val="en-US" w:eastAsia="zh-CN" w:bidi="ar-SA"/>
              </w:rPr>
            </w:pPr>
            <w:r>
              <w:rPr>
                <w:snapToGrid w:val="0"/>
                <w:kern w:val="0"/>
                <w:sz w:val="15"/>
                <w:szCs w:val="15"/>
                <w:highlight w:val="none"/>
                <w:lang w:val="en-US" w:eastAsia="zh-CN" w:bidi="ar-SA"/>
              </w:rPr>
              <w:t>9. 本期期末指定账户首次存款净额</w:t>
            </w:r>
          </w:p>
          <w:p>
            <w:pPr>
              <w:pStyle w:val="24"/>
              <w:spacing w:line="216" w:lineRule="exact"/>
              <w:ind w:left="151" w:leftChars="72"/>
              <w:rPr>
                <w:snapToGrid w:val="0"/>
                <w:kern w:val="0"/>
                <w:sz w:val="15"/>
                <w:szCs w:val="15"/>
                <w:highlight w:val="none"/>
                <w:lang w:val="en-US" w:eastAsia="zh-CN" w:bidi="ar-SA"/>
              </w:rPr>
            </w:pPr>
            <w:r>
              <w:rPr>
                <w:snapToGrid w:val="0"/>
                <w:kern w:val="0"/>
                <w:sz w:val="15"/>
                <w:szCs w:val="15"/>
                <w:highlight w:val="none"/>
                <w:lang w:val="en-US" w:eastAsia="zh-CN" w:bidi="ar-SA"/>
              </w:rPr>
              <w:t>Total Advance to the Designated Account Accounted for at the End of this Period</w:t>
            </w:r>
          </w:p>
        </w:tc>
        <w:tc>
          <w:tcPr>
            <w:tcW w:w="3305" w:type="dxa"/>
            <w:vAlign w:val="center"/>
          </w:tcPr>
          <w:p>
            <w:pPr>
              <w:pStyle w:val="24"/>
              <w:jc w:val="right"/>
              <w:rPr>
                <w:snapToGrid w:val="0"/>
                <w:kern w:val="0"/>
                <w:sz w:val="15"/>
                <w:szCs w:val="15"/>
                <w:highlight w:val="none"/>
                <w:lang w:val="en-US" w:eastAsia="zh-CN" w:bidi="ar-SA"/>
              </w:rPr>
            </w:pPr>
            <w:r>
              <w:rPr>
                <w:rFonts w:hint="default"/>
                <w:color w:val="auto"/>
                <w:kern w:val="2"/>
                <w:sz w:val="15"/>
                <w:szCs w:val="15"/>
                <w:highlight w:val="none"/>
                <w:lang w:val="en-US" w:eastAsia="zh-CN" w:bidi="ar-SA"/>
              </w:rPr>
              <w:t xml:space="preserve"> 10,000,000.00  </w:t>
            </w:r>
          </w:p>
        </w:tc>
      </w:tr>
    </w:tbl>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24"/>
        <w:tabs>
          <w:tab w:val="left" w:pos="7140"/>
        </w:tabs>
        <w:autoSpaceDE w:val="0"/>
        <w:autoSpaceDN w:val="0"/>
        <w:adjustRightInd w:val="0"/>
        <w:rPr>
          <w:rFonts w:eastAsia="仿宋_GB2312"/>
          <w:snapToGrid w:val="0"/>
          <w:kern w:val="0"/>
          <w:sz w:val="21"/>
          <w:highlight w:val="none"/>
          <w:lang w:val="en-US" w:eastAsia="zh-CN" w:bidi="ar-SA"/>
        </w:rPr>
      </w:pPr>
    </w:p>
    <w:p>
      <w:pPr>
        <w:pStyle w:val="30"/>
        <w:keepLines w:val="0"/>
        <w:pageBreakBefore w:val="0"/>
        <w:kinsoku/>
        <w:wordWrap/>
        <w:overflowPunct/>
        <w:topLinePunct w:val="0"/>
        <w:bidi w:val="0"/>
        <w:spacing w:line="400" w:lineRule="exact"/>
        <w:ind w:right="0" w:rightChars="0"/>
        <w:textAlignment w:val="auto"/>
        <w:rPr>
          <w:rFonts w:ascii="Times New Roman" w:eastAsia="仿宋_GB2312"/>
          <w:b/>
          <w:bCs/>
          <w:color w:val="auto"/>
          <w:kern w:val="2"/>
          <w:sz w:val="28"/>
          <w:szCs w:val="30"/>
          <w:highlight w:val="none"/>
          <w:lang w:val="en-US" w:eastAsia="zh-CN" w:bidi="ar-SA"/>
        </w:rPr>
      </w:pPr>
      <w:bookmarkStart w:id="11" w:name="_Toc30352"/>
      <w:r>
        <w:rPr>
          <w:rFonts w:ascii="Times New Roman" w:eastAsia="仿宋_GB2312"/>
          <w:b/>
          <w:bCs/>
          <w:color w:val="auto"/>
          <w:kern w:val="2"/>
          <w:sz w:val="28"/>
          <w:szCs w:val="30"/>
          <w:highlight w:val="none"/>
          <w:lang w:val="en-US" w:eastAsia="zh-CN" w:bidi="ar-SA"/>
        </w:rPr>
        <w:t>（五）财务报表附注</w:t>
      </w:r>
      <w:bookmarkEnd w:id="11"/>
    </w:p>
    <w:p>
      <w:pPr>
        <w:pStyle w:val="24"/>
        <w:keepLines w:val="0"/>
        <w:pageBreakBefore w:val="0"/>
        <w:kinsoku/>
        <w:wordWrap/>
        <w:overflowPunct/>
        <w:topLinePunct w:val="0"/>
        <w:bidi w:val="0"/>
        <w:spacing w:line="400" w:lineRule="exact"/>
        <w:ind w:right="0" w:rightChars="0"/>
        <w:textAlignment w:val="auto"/>
        <w:rPr>
          <w:rFonts w:eastAsia="仿宋_GB2312"/>
          <w:b/>
          <w:color w:val="auto"/>
          <w:kern w:val="2"/>
          <w:sz w:val="28"/>
          <w:szCs w:val="28"/>
          <w:highlight w:val="none"/>
          <w:lang w:val="en-US" w:eastAsia="zh-CN" w:bidi="ar-SA"/>
        </w:rPr>
      </w:pPr>
    </w:p>
    <w:p>
      <w:pPr>
        <w:pStyle w:val="12"/>
        <w:keepLines w:val="0"/>
        <w:pageBreakBefore w:val="0"/>
        <w:kinsoku/>
        <w:wordWrap/>
        <w:overflowPunct/>
        <w:topLinePunct w:val="0"/>
        <w:bidi w:val="0"/>
        <w:spacing w:line="400" w:lineRule="exact"/>
        <w:ind w:right="0" w:rightChars="0"/>
        <w:textAlignment w:val="auto"/>
        <w:rPr>
          <w:rFonts w:eastAsia="仿宋_GB2312"/>
          <w:b/>
          <w:color w:val="auto"/>
          <w:kern w:val="2"/>
          <w:sz w:val="32"/>
          <w:szCs w:val="32"/>
          <w:highlight w:val="none"/>
          <w:lang w:val="en-GB" w:eastAsia="zh-CN" w:bidi="ar-SA"/>
        </w:rPr>
      </w:pPr>
      <w:r>
        <w:rPr>
          <w:rFonts w:eastAsia="仿宋_GB2312"/>
          <w:b/>
          <w:color w:val="auto"/>
          <w:kern w:val="2"/>
          <w:sz w:val="32"/>
          <w:szCs w:val="32"/>
          <w:highlight w:val="none"/>
          <w:lang w:val="en-GB" w:eastAsia="zh-CN" w:bidi="ar-SA"/>
        </w:rPr>
        <w:t>财务报表附注</w:t>
      </w:r>
    </w:p>
    <w:p>
      <w:pPr>
        <w:pStyle w:val="24"/>
        <w:keepLines w:val="0"/>
        <w:pageBreakBefore w:val="0"/>
        <w:kinsoku/>
        <w:wordWrap/>
        <w:overflowPunct/>
        <w:topLinePunct w:val="0"/>
        <w:bidi w:val="0"/>
        <w:spacing w:line="400" w:lineRule="exact"/>
        <w:ind w:right="0" w:rightChars="0"/>
        <w:textAlignment w:val="auto"/>
        <w:rPr>
          <w:rFonts w:hint="eastAsia" w:ascii="仿宋_GB2312" w:eastAsia="仿宋_GB2312"/>
          <w:b/>
          <w:bCs/>
          <w:color w:val="auto"/>
          <w:kern w:val="2"/>
          <w:sz w:val="30"/>
          <w:szCs w:val="30"/>
          <w:highlight w:val="none"/>
          <w:lang w:val="en-US" w:eastAsia="zh-CN" w:bidi="ar-SA"/>
        </w:rPr>
      </w:pPr>
    </w:p>
    <w:p>
      <w:pPr>
        <w:pStyle w:val="24"/>
        <w:keepLines w:val="0"/>
        <w:pageBreakBefore w:val="0"/>
        <w:numPr>
          <w:ilvl w:val="0"/>
          <w:numId w:val="1"/>
        </w:numPr>
        <w:kinsoku/>
        <w:wordWrap/>
        <w:overflowPunct/>
        <w:topLinePunct w:val="0"/>
        <w:bidi w:val="0"/>
        <w:spacing w:line="400" w:lineRule="exact"/>
        <w:ind w:right="0" w:rightChars="0"/>
        <w:textAlignment w:val="auto"/>
        <w:rPr>
          <w:rFonts w:hint="default" w:ascii="Times New Roman" w:hAnsi="Times New Roman" w:eastAsia="仿宋_GB2312" w:cs="Times New Roman"/>
          <w:b/>
          <w:bCs/>
          <w:color w:val="auto"/>
          <w:kern w:val="2"/>
          <w:sz w:val="28"/>
          <w:szCs w:val="28"/>
          <w:highlight w:val="none"/>
          <w:lang w:val="en-US" w:eastAsia="zh-CN" w:bidi="ar-SA"/>
        </w:rPr>
      </w:pPr>
      <w:r>
        <w:rPr>
          <w:rFonts w:hint="default" w:ascii="Times New Roman" w:hAnsi="Times New Roman" w:eastAsia="仿宋_GB2312" w:cs="Times New Roman"/>
          <w:b/>
          <w:bCs/>
          <w:color w:val="auto"/>
          <w:kern w:val="2"/>
          <w:sz w:val="28"/>
          <w:szCs w:val="28"/>
          <w:highlight w:val="none"/>
          <w:lang w:val="en-US" w:eastAsia="zh-CN" w:bidi="ar-SA"/>
        </w:rPr>
        <w:t>项目概况</w:t>
      </w:r>
    </w:p>
    <w:p>
      <w:pPr>
        <w:pStyle w:val="24"/>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世行贷款芦山地震灾后恢复重建项目贷款号为8647-CN，该项目旨在改善受灾地区抗灾基础设施的状况，加强所选城市的减灾能力，改善石棉县的应急准备能力。该项目的实施，将进一步推进灾区跨越发展，增强灾区自我发展的能力，实现灾区同步小康，对继续探索以地方为主体推动灾区后续发展具有重要实践意义。</w:t>
      </w:r>
    </w:p>
    <w:p>
      <w:pPr>
        <w:pStyle w:val="24"/>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世行贷款芦山地震灾后恢复重建项目城建基础设施部分可研批复项目总投资约21.86亿元人民币，拟使用世行贷款2.7亿美元，项目内容包括雅安市雨城区、名山区、天全县、荥经县、宝兴县、芦山县、石棉县等7个县（区）共计8个子项目，建设内容包括市政道路、桥梁、给水厂、供排水管网、防洪堤、排洪渠整治、应急避难广场和灾害风险管理系统（DRM）等。该项目《贷款协定》于2016年11月23日签订，2017年3月6日贷款生效，计划2022年6月30日关闭账户。截至2019年12月31日，该项目已完成所有咨询服务合同和土建工程合同招标工作，项目全面进入实施阶段。</w:t>
      </w:r>
    </w:p>
    <w:p>
      <w:pPr>
        <w:pStyle w:val="24"/>
        <w:keepLines w:val="0"/>
        <w:pageBreakBefore w:val="0"/>
        <w:tabs>
          <w:tab w:val="left" w:pos="360"/>
        </w:tabs>
        <w:kinsoku/>
        <w:wordWrap/>
        <w:overflowPunct/>
        <w:topLinePunct w:val="0"/>
        <w:bidi w:val="0"/>
        <w:snapToGrid w:val="0"/>
        <w:spacing w:line="400" w:lineRule="exact"/>
        <w:ind w:right="0" w:rightChars="0" w:firstLine="0" w:firstLineChars="0"/>
        <w:textAlignment w:val="auto"/>
        <w:rPr>
          <w:rFonts w:hint="default" w:ascii="Times New Roman" w:hAnsi="Times New Roman" w:eastAsia="仿宋_GB2312" w:cs="Times New Roman"/>
          <w:color w:val="auto"/>
          <w:kern w:val="2"/>
          <w:sz w:val="28"/>
          <w:szCs w:val="28"/>
          <w:highlight w:val="none"/>
          <w:lang w:val="en-US" w:eastAsia="zh-CN" w:bidi="ar-SA"/>
        </w:rPr>
      </w:pPr>
    </w:p>
    <w:p>
      <w:pPr>
        <w:pStyle w:val="24"/>
        <w:keepLines w:val="0"/>
        <w:pageBreakBefore w:val="0"/>
        <w:numPr>
          <w:ilvl w:val="0"/>
          <w:numId w:val="1"/>
        </w:numPr>
        <w:kinsoku/>
        <w:wordWrap/>
        <w:overflowPunct/>
        <w:topLinePunct w:val="0"/>
        <w:bidi w:val="0"/>
        <w:spacing w:before="156" w:beforeLines="50" w:line="400" w:lineRule="exact"/>
        <w:ind w:left="958" w:right="0" w:rightChars="0" w:hanging="357"/>
        <w:textAlignment w:val="auto"/>
        <w:rPr>
          <w:rFonts w:hint="default" w:ascii="Times New Roman" w:hAnsi="Times New Roman" w:eastAsia="仿宋_GB2312" w:cs="Times New Roman"/>
          <w:b/>
          <w:bCs/>
          <w:color w:val="auto"/>
          <w:kern w:val="2"/>
          <w:sz w:val="28"/>
          <w:szCs w:val="28"/>
          <w:highlight w:val="none"/>
          <w:lang w:val="en-US" w:eastAsia="zh-CN" w:bidi="ar-SA"/>
        </w:rPr>
      </w:pPr>
      <w:r>
        <w:rPr>
          <w:rFonts w:hint="default" w:ascii="Times New Roman" w:hAnsi="Times New Roman" w:eastAsia="仿宋_GB2312" w:cs="Times New Roman"/>
          <w:b/>
          <w:bCs/>
          <w:color w:val="auto"/>
          <w:kern w:val="2"/>
          <w:sz w:val="28"/>
          <w:szCs w:val="28"/>
          <w:highlight w:val="none"/>
          <w:lang w:val="en-US" w:eastAsia="zh-CN" w:bidi="ar-SA"/>
        </w:rPr>
        <w:t>财务报表编制范围</w:t>
      </w:r>
    </w:p>
    <w:p>
      <w:pPr>
        <w:pStyle w:val="24"/>
        <w:keepLines w:val="0"/>
        <w:pageBreakBefore w:val="0"/>
        <w:tabs>
          <w:tab w:val="left" w:pos="360"/>
        </w:tabs>
        <w:kinsoku/>
        <w:wordWrap/>
        <w:overflowPunct/>
        <w:topLinePunct w:val="0"/>
        <w:bidi w:val="0"/>
        <w:snapToGrid w:val="0"/>
        <w:spacing w:line="400" w:lineRule="exact"/>
        <w:ind w:right="0" w:rightChars="0" w:firstLine="537" w:firstLineChars="192"/>
        <w:textAlignment w:val="auto"/>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本财务报表的编制范围包括雅安市雨城区、名山</w:t>
      </w:r>
      <w:r>
        <w:rPr>
          <w:rFonts w:hint="eastAsia" w:ascii="Times New Roman" w:hAnsi="Times New Roman" w:eastAsia="仿宋_GB2312" w:cs="Times New Roman"/>
          <w:color w:val="auto"/>
          <w:kern w:val="2"/>
          <w:sz w:val="28"/>
          <w:szCs w:val="28"/>
          <w:highlight w:val="none"/>
          <w:lang w:val="en-US" w:eastAsia="zh-CN" w:bidi="ar-SA"/>
        </w:rPr>
        <w:t>区</w:t>
      </w:r>
      <w:r>
        <w:rPr>
          <w:rFonts w:hint="default" w:ascii="Times New Roman" w:hAnsi="Times New Roman" w:eastAsia="仿宋_GB2312" w:cs="Times New Roman"/>
          <w:color w:val="auto"/>
          <w:kern w:val="2"/>
          <w:sz w:val="28"/>
          <w:szCs w:val="28"/>
          <w:highlight w:val="none"/>
          <w:lang w:val="en-US" w:eastAsia="zh-CN" w:bidi="ar-SA"/>
        </w:rPr>
        <w:t>、天全县、荥经县、宝兴县、芦山县、石棉县等</w:t>
      </w:r>
      <w:r>
        <w:rPr>
          <w:rFonts w:hint="eastAsia" w:ascii="Times New Roman" w:hAnsi="Times New Roman" w:eastAsia="仿宋_GB2312" w:cs="Times New Roman"/>
          <w:color w:val="auto"/>
          <w:kern w:val="2"/>
          <w:sz w:val="28"/>
          <w:szCs w:val="28"/>
          <w:highlight w:val="none"/>
          <w:lang w:val="en-US" w:eastAsia="zh-CN" w:bidi="ar-SA"/>
        </w:rPr>
        <w:t>7</w:t>
      </w:r>
      <w:r>
        <w:rPr>
          <w:rFonts w:hint="default" w:ascii="Times New Roman" w:hAnsi="Times New Roman" w:eastAsia="仿宋_GB2312" w:cs="Times New Roman"/>
          <w:color w:val="auto"/>
          <w:kern w:val="2"/>
          <w:sz w:val="28"/>
          <w:szCs w:val="28"/>
          <w:highlight w:val="none"/>
          <w:lang w:val="en-US" w:eastAsia="zh-CN" w:bidi="ar-SA"/>
        </w:rPr>
        <w:t>个县</w:t>
      </w:r>
      <w:r>
        <w:rPr>
          <w:rFonts w:hint="eastAsia"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区</w:t>
      </w:r>
      <w:r>
        <w:rPr>
          <w:rFonts w:hint="eastAsia"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项目办的财务报表及省财政厅指定账户报表。</w:t>
      </w:r>
    </w:p>
    <w:p>
      <w:pPr>
        <w:pStyle w:val="24"/>
        <w:keepLines w:val="0"/>
        <w:pageBreakBefore w:val="0"/>
        <w:tabs>
          <w:tab w:val="left" w:pos="360"/>
        </w:tabs>
        <w:kinsoku/>
        <w:wordWrap/>
        <w:overflowPunct/>
        <w:topLinePunct w:val="0"/>
        <w:bidi w:val="0"/>
        <w:snapToGrid w:val="0"/>
        <w:spacing w:line="400" w:lineRule="exact"/>
        <w:ind w:right="0" w:rightChars="0"/>
        <w:textAlignment w:val="auto"/>
        <w:rPr>
          <w:rFonts w:hint="default" w:ascii="Times New Roman" w:hAnsi="Times New Roman" w:eastAsia="仿宋_GB2312" w:cs="Times New Roman"/>
          <w:color w:val="auto"/>
          <w:kern w:val="2"/>
          <w:sz w:val="28"/>
          <w:szCs w:val="28"/>
          <w:highlight w:val="none"/>
          <w:lang w:val="en-US" w:eastAsia="zh-CN" w:bidi="ar-SA"/>
        </w:rPr>
      </w:pPr>
    </w:p>
    <w:p>
      <w:pPr>
        <w:pStyle w:val="24"/>
        <w:keepLines w:val="0"/>
        <w:pageBreakBefore w:val="0"/>
        <w:numPr>
          <w:ilvl w:val="0"/>
          <w:numId w:val="1"/>
        </w:numPr>
        <w:kinsoku/>
        <w:wordWrap/>
        <w:overflowPunct/>
        <w:topLinePunct w:val="0"/>
        <w:bidi w:val="0"/>
        <w:spacing w:before="156" w:beforeLines="50" w:line="400" w:lineRule="exact"/>
        <w:ind w:left="958" w:right="0" w:rightChars="0" w:hanging="357"/>
        <w:textAlignment w:val="auto"/>
        <w:rPr>
          <w:rFonts w:hint="default" w:ascii="Times New Roman" w:hAnsi="Times New Roman" w:eastAsia="仿宋_GB2312" w:cs="Times New Roman"/>
          <w:b/>
          <w:bCs/>
          <w:color w:val="auto"/>
          <w:kern w:val="2"/>
          <w:sz w:val="28"/>
          <w:szCs w:val="28"/>
          <w:highlight w:val="none"/>
          <w:lang w:val="en-US" w:eastAsia="zh-CN" w:bidi="ar-SA"/>
        </w:rPr>
      </w:pPr>
      <w:r>
        <w:rPr>
          <w:rFonts w:hint="default" w:ascii="Times New Roman" w:hAnsi="Times New Roman" w:eastAsia="仿宋_GB2312" w:cs="Times New Roman"/>
          <w:b/>
          <w:bCs/>
          <w:color w:val="auto"/>
          <w:kern w:val="2"/>
          <w:sz w:val="28"/>
          <w:szCs w:val="28"/>
          <w:highlight w:val="none"/>
          <w:lang w:val="en-US" w:eastAsia="zh-CN" w:bidi="ar-SA"/>
        </w:rPr>
        <w:t>主要会计政策</w:t>
      </w:r>
    </w:p>
    <w:p>
      <w:pPr>
        <w:pStyle w:val="24"/>
        <w:tabs>
          <w:tab w:val="left" w:pos="360"/>
        </w:tabs>
        <w:adjustRightInd/>
        <w:snapToGrid w:val="0"/>
        <w:spacing w:before="0" w:beforeLines="0" w:line="400" w:lineRule="exact"/>
        <w:ind w:firstLine="537" w:firstLineChars="192"/>
        <w:rPr>
          <w:rFonts w:ascii="Times New Roman" w:hAnsi="Times New Roman" w:eastAsia="仿宋_GB2312" w:cs="Times New Roman"/>
          <w:color w:val="auto"/>
          <w:kern w:val="2"/>
          <w:sz w:val="28"/>
          <w:szCs w:val="28"/>
          <w:highlight w:val="none"/>
          <w:lang w:val="en-US" w:eastAsia="zh-CN" w:bidi="ar-SA"/>
        </w:rPr>
      </w:pPr>
      <w:r>
        <w:rPr>
          <w:rFonts w:ascii="Times New Roman" w:hAnsi="Times New Roman" w:eastAsia="仿宋_GB2312" w:cs="Times New Roman"/>
          <w:color w:val="auto"/>
          <w:kern w:val="2"/>
          <w:sz w:val="28"/>
          <w:szCs w:val="28"/>
          <w:highlight w:val="none"/>
          <w:lang w:val="en-US" w:eastAsia="zh-CN" w:bidi="ar-SA"/>
        </w:rPr>
        <w:t>3.1</w:t>
      </w:r>
      <w:r>
        <w:rPr>
          <w:rFonts w:hint="default" w:ascii="Times New Roman" w:hAnsi="Times New Roman" w:eastAsia="仿宋_GB2312" w:cs="Times New Roman"/>
          <w:color w:val="auto"/>
          <w:kern w:val="2"/>
          <w:sz w:val="28"/>
          <w:szCs w:val="28"/>
          <w:highlight w:val="none"/>
          <w:lang w:val="en-US" w:eastAsia="zh-CN" w:bidi="ar-SA"/>
        </w:rPr>
        <w:t xml:space="preserve"> </w:t>
      </w:r>
      <w:r>
        <w:rPr>
          <w:rFonts w:ascii="Times New Roman" w:hAnsi="Times New Roman" w:eastAsia="仿宋_GB2312" w:cs="Times New Roman"/>
          <w:color w:val="auto"/>
          <w:kern w:val="2"/>
          <w:sz w:val="28"/>
          <w:szCs w:val="28"/>
          <w:highlight w:val="none"/>
          <w:lang w:val="en-US" w:eastAsia="zh-CN" w:bidi="ar-SA"/>
        </w:rPr>
        <w:t>本</w:t>
      </w:r>
      <w:r>
        <w:rPr>
          <w:rFonts w:hint="default" w:ascii="Times New Roman" w:hAnsi="Times New Roman" w:eastAsia="仿宋_GB2312" w:cs="Times New Roman"/>
          <w:color w:val="auto"/>
          <w:kern w:val="2"/>
          <w:sz w:val="28"/>
          <w:szCs w:val="28"/>
          <w:highlight w:val="none"/>
          <w:lang w:val="en-US" w:eastAsia="zh-CN" w:bidi="ar-SA"/>
        </w:rPr>
        <w:t>项目</w:t>
      </w:r>
      <w:r>
        <w:rPr>
          <w:rFonts w:ascii="Times New Roman" w:hAnsi="Times New Roman" w:eastAsia="仿宋_GB2312" w:cs="Times New Roman"/>
          <w:color w:val="auto"/>
          <w:kern w:val="2"/>
          <w:sz w:val="28"/>
          <w:szCs w:val="28"/>
          <w:highlight w:val="none"/>
          <w:lang w:val="en-US" w:eastAsia="zh-CN" w:bidi="ar-SA"/>
        </w:rPr>
        <w:t>财务报表按照财政部《世界银行贷款项目会计核算办法》</w:t>
      </w:r>
      <w:r>
        <w:rPr>
          <w:rFonts w:hint="default" w:ascii="Times New Roman" w:hAnsi="Times New Roman" w:eastAsia="仿宋_GB2312" w:cs="Times New Roman"/>
          <w:color w:val="auto"/>
          <w:kern w:val="2"/>
          <w:sz w:val="28"/>
          <w:szCs w:val="28"/>
          <w:highlight w:val="none"/>
          <w:lang w:val="en-US" w:eastAsia="zh-CN" w:bidi="ar-SA"/>
        </w:rPr>
        <w:t>（财际字</w:t>
      </w:r>
      <w:r>
        <w:rPr>
          <w:rFonts w:ascii="Times New Roman" w:hAnsi="Times New Roman" w:eastAsia="仿宋_GB2312" w:cs="Times New Roman"/>
          <w:color w:val="auto"/>
          <w:kern w:val="2"/>
          <w:sz w:val="28"/>
          <w:szCs w:val="28"/>
          <w:highlight w:val="none"/>
          <w:lang w:val="en-US" w:eastAsia="zh-CN" w:bidi="ar-SA"/>
        </w:rPr>
        <w:t>〔20</w:t>
      </w:r>
      <w:r>
        <w:rPr>
          <w:rFonts w:hint="default" w:ascii="Times New Roman" w:hAnsi="Times New Roman" w:eastAsia="仿宋_GB2312" w:cs="Times New Roman"/>
          <w:color w:val="auto"/>
          <w:kern w:val="2"/>
          <w:sz w:val="28"/>
          <w:szCs w:val="28"/>
          <w:highlight w:val="none"/>
          <w:lang w:val="en-US" w:eastAsia="zh-CN" w:bidi="ar-SA"/>
        </w:rPr>
        <w:t>0</w:t>
      </w:r>
      <w:r>
        <w:rPr>
          <w:rFonts w:ascii="Times New Roman" w:hAnsi="Times New Roman" w:eastAsia="仿宋_GB2312" w:cs="Times New Roman"/>
          <w:color w:val="auto"/>
          <w:kern w:val="2"/>
          <w:sz w:val="28"/>
          <w:szCs w:val="28"/>
          <w:highlight w:val="none"/>
          <w:lang w:val="en-US" w:eastAsia="zh-CN" w:bidi="ar-SA"/>
        </w:rPr>
        <w:t>0〕</w:t>
      </w:r>
      <w:r>
        <w:rPr>
          <w:rFonts w:hint="default" w:ascii="Times New Roman" w:hAnsi="Times New Roman" w:eastAsia="仿宋_GB2312" w:cs="Times New Roman"/>
          <w:color w:val="auto"/>
          <w:kern w:val="2"/>
          <w:sz w:val="28"/>
          <w:szCs w:val="28"/>
          <w:highlight w:val="none"/>
          <w:lang w:val="en-US" w:eastAsia="zh-CN" w:bidi="ar-SA"/>
        </w:rPr>
        <w:t>13号）的要求编制</w:t>
      </w:r>
      <w:r>
        <w:rPr>
          <w:rFonts w:ascii="Times New Roman" w:hAnsi="Times New Roman" w:eastAsia="仿宋_GB2312" w:cs="Times New Roman"/>
          <w:color w:val="auto"/>
          <w:kern w:val="2"/>
          <w:sz w:val="28"/>
          <w:szCs w:val="28"/>
          <w:highlight w:val="none"/>
          <w:lang w:val="en-US" w:eastAsia="zh-CN" w:bidi="ar-SA"/>
        </w:rPr>
        <w:t>。</w:t>
      </w:r>
    </w:p>
    <w:p>
      <w:pPr>
        <w:pStyle w:val="24"/>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p>
    <w:p>
      <w:pPr>
        <w:pStyle w:val="24"/>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3.2</w:t>
      </w:r>
      <w:r>
        <w:rPr>
          <w:rFonts w:ascii="Times New Roman" w:hAnsi="Times New Roman" w:eastAsia="仿宋_GB2312" w:cs="Times New Roman"/>
          <w:color w:val="auto"/>
          <w:kern w:val="2"/>
          <w:sz w:val="28"/>
          <w:szCs w:val="28"/>
          <w:highlight w:val="none"/>
          <w:lang w:val="en-US" w:eastAsia="zh-CN" w:bidi="ar-SA"/>
        </w:rPr>
        <w:t>会计核算年度采用公历年制，即公历每年1月1日至12月31日。</w:t>
      </w:r>
      <w:r>
        <w:rPr>
          <w:rFonts w:hint="default" w:ascii="Times New Roman" w:hAnsi="Times New Roman" w:eastAsia="仿宋_GB2312" w:cs="Times New Roman"/>
          <w:color w:val="auto"/>
          <w:kern w:val="2"/>
          <w:sz w:val="28"/>
          <w:szCs w:val="28"/>
          <w:highlight w:val="none"/>
          <w:lang w:val="en-US" w:eastAsia="zh-CN" w:bidi="ar-SA"/>
        </w:rPr>
        <w:t>本财务报表会计核算涵盖了2019年1月1日至2019年12月31日所发生的费用。</w:t>
      </w:r>
    </w:p>
    <w:p>
      <w:pPr>
        <w:pStyle w:val="24"/>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p>
    <w:p>
      <w:pPr>
        <w:pStyle w:val="24"/>
        <w:tabs>
          <w:tab w:val="left" w:pos="360"/>
        </w:tabs>
        <w:adjustRightInd/>
        <w:snapToGrid w:val="0"/>
        <w:spacing w:before="0" w:beforeLines="0" w:line="400" w:lineRule="exact"/>
        <w:ind w:firstLine="537" w:firstLineChars="192"/>
        <w:rPr>
          <w:rFonts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3.3</w:t>
      </w:r>
      <w:r>
        <w:rPr>
          <w:rFonts w:ascii="Times New Roman" w:hAnsi="Times New Roman" w:eastAsia="仿宋_GB2312" w:cs="Times New Roman"/>
          <w:color w:val="auto"/>
          <w:kern w:val="2"/>
          <w:sz w:val="28"/>
          <w:szCs w:val="28"/>
          <w:highlight w:val="none"/>
          <w:lang w:val="en-US" w:eastAsia="zh-CN" w:bidi="ar-SA"/>
        </w:rPr>
        <w:t>本项目会计核算以 “权责发生制”作为记账原则，采用借贷复式记账法记账，以人民币为记账本位币。</w:t>
      </w:r>
    </w:p>
    <w:p>
      <w:pPr>
        <w:pStyle w:val="24"/>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p>
    <w:p>
      <w:pPr>
        <w:pStyle w:val="24"/>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3.4 按照</w:t>
      </w:r>
      <w:r>
        <w:rPr>
          <w:rFonts w:hint="eastAsia" w:ascii="Times New Roman" w:hAnsi="Times New Roman" w:eastAsia="仿宋_GB2312" w:cs="Times New Roman"/>
          <w:color w:val="auto"/>
          <w:kern w:val="2"/>
          <w:sz w:val="28"/>
          <w:szCs w:val="28"/>
          <w:highlight w:val="none"/>
          <w:lang w:val="en-US" w:eastAsia="zh-CN" w:bidi="ar-SA"/>
        </w:rPr>
        <w:t>中国人民银行</w:t>
      </w:r>
      <w:r>
        <w:rPr>
          <w:rFonts w:hint="default" w:ascii="Times New Roman" w:hAnsi="Times New Roman" w:eastAsia="仿宋_GB2312" w:cs="Times New Roman"/>
          <w:color w:val="auto"/>
          <w:kern w:val="2"/>
          <w:sz w:val="28"/>
          <w:szCs w:val="28"/>
          <w:highlight w:val="none"/>
          <w:lang w:val="en-US" w:eastAsia="zh-CN" w:bidi="ar-SA"/>
        </w:rPr>
        <w:t>2019年</w:t>
      </w:r>
      <w:r>
        <w:rPr>
          <w:rFonts w:hint="eastAsia" w:ascii="Times New Roman" w:hAnsi="Times New Roman" w:eastAsia="仿宋_GB2312" w:cs="Times New Roman"/>
          <w:color w:val="auto"/>
          <w:kern w:val="2"/>
          <w:sz w:val="28"/>
          <w:szCs w:val="28"/>
          <w:highlight w:val="none"/>
          <w:lang w:val="en-US" w:eastAsia="zh-CN" w:bidi="ar-SA"/>
        </w:rPr>
        <w:t>12月31日</w:t>
      </w:r>
      <w:r>
        <w:rPr>
          <w:rFonts w:hint="default" w:ascii="Times New Roman" w:hAnsi="Times New Roman" w:eastAsia="仿宋_GB2312" w:cs="Times New Roman"/>
          <w:color w:val="auto"/>
          <w:kern w:val="2"/>
          <w:sz w:val="28"/>
          <w:szCs w:val="28"/>
          <w:highlight w:val="none"/>
          <w:lang w:val="en-US" w:eastAsia="zh-CN" w:bidi="ar-SA"/>
        </w:rPr>
        <w:t>美元兑换人民币的中间价作为本次报表的计算汇率，即1美元</w:t>
      </w:r>
      <w:r>
        <w:rPr>
          <w:rFonts w:ascii="Times New Roman" w:hAnsi="Times New Roman" w:eastAsia="仿宋_GB2312" w:cs="Times New Roman"/>
          <w:color w:val="auto"/>
          <w:kern w:val="2"/>
          <w:sz w:val="28"/>
          <w:szCs w:val="28"/>
          <w:highlight w:val="none"/>
          <w:lang w:val="en-US" w:eastAsia="zh-CN" w:bidi="ar-SA"/>
        </w:rPr>
        <w:t>=人民币6.</w:t>
      </w:r>
      <w:r>
        <w:rPr>
          <w:rFonts w:hint="default" w:ascii="Times New Roman" w:hAnsi="Times New Roman" w:eastAsia="仿宋_GB2312" w:cs="Times New Roman"/>
          <w:color w:val="auto"/>
          <w:kern w:val="2"/>
          <w:sz w:val="28"/>
          <w:szCs w:val="28"/>
          <w:highlight w:val="none"/>
          <w:lang w:val="en-US" w:eastAsia="zh-CN" w:bidi="ar-SA"/>
        </w:rPr>
        <w:t>9762</w:t>
      </w:r>
      <w:r>
        <w:rPr>
          <w:rFonts w:ascii="Times New Roman" w:hAnsi="Times New Roman" w:eastAsia="仿宋_GB2312" w:cs="Times New Roman"/>
          <w:color w:val="auto"/>
          <w:kern w:val="2"/>
          <w:sz w:val="28"/>
          <w:szCs w:val="28"/>
          <w:highlight w:val="none"/>
          <w:lang w:val="en-US" w:eastAsia="zh-CN" w:bidi="ar-SA"/>
        </w:rPr>
        <w:t>元。</w:t>
      </w:r>
    </w:p>
    <w:p>
      <w:pPr>
        <w:pStyle w:val="24"/>
        <w:keepLines w:val="0"/>
        <w:pageBreakBefore w:val="0"/>
        <w:tabs>
          <w:tab w:val="left" w:pos="360"/>
        </w:tabs>
        <w:kinsoku/>
        <w:wordWrap/>
        <w:overflowPunct/>
        <w:topLinePunct w:val="0"/>
        <w:bidi w:val="0"/>
        <w:snapToGrid w:val="0"/>
        <w:spacing w:line="400" w:lineRule="exact"/>
        <w:ind w:right="0" w:rightChars="0" w:firstLine="537" w:firstLineChars="192"/>
        <w:textAlignment w:val="auto"/>
        <w:rPr>
          <w:rFonts w:hint="default" w:ascii="Times New Roman" w:hAnsi="Times New Roman" w:eastAsia="仿宋_GB2312" w:cs="Times New Roman"/>
          <w:color w:val="auto"/>
          <w:kern w:val="2"/>
          <w:sz w:val="28"/>
          <w:szCs w:val="28"/>
          <w:highlight w:val="none"/>
          <w:lang w:val="en-US" w:eastAsia="zh-CN" w:bidi="ar-SA"/>
        </w:rPr>
      </w:pPr>
    </w:p>
    <w:p>
      <w:pPr>
        <w:pStyle w:val="24"/>
        <w:keepLines w:val="0"/>
        <w:pageBreakBefore w:val="0"/>
        <w:kinsoku/>
        <w:wordWrap/>
        <w:overflowPunct/>
        <w:topLinePunct w:val="0"/>
        <w:bidi w:val="0"/>
        <w:adjustRightInd w:val="0"/>
        <w:snapToGrid w:val="0"/>
        <w:spacing w:before="312" w:beforeLines="100" w:line="400" w:lineRule="exact"/>
        <w:ind w:right="0" w:rightChars="0" w:firstLine="562" w:firstLineChars="200"/>
        <w:textAlignment w:val="auto"/>
        <w:rPr>
          <w:rFonts w:hint="default" w:ascii="Times New Roman" w:hAnsi="Times New Roman" w:eastAsia="仿宋_GB2312" w:cs="Times New Roman"/>
          <w:b/>
          <w:bCs/>
          <w:color w:val="auto"/>
          <w:kern w:val="2"/>
          <w:sz w:val="28"/>
          <w:szCs w:val="28"/>
          <w:highlight w:val="none"/>
          <w:lang w:val="en-US" w:eastAsia="zh-CN" w:bidi="ar-SA"/>
        </w:rPr>
      </w:pPr>
      <w:r>
        <w:rPr>
          <w:rFonts w:hint="default" w:ascii="Times New Roman" w:hAnsi="Times New Roman" w:eastAsia="仿宋_GB2312" w:cs="Times New Roman"/>
          <w:b/>
          <w:bCs/>
          <w:color w:val="auto"/>
          <w:kern w:val="2"/>
          <w:sz w:val="28"/>
          <w:szCs w:val="28"/>
          <w:highlight w:val="none"/>
          <w:lang w:val="en-US" w:eastAsia="zh-CN" w:bidi="ar-SA"/>
        </w:rPr>
        <w:t>4.报表科目说明</w:t>
      </w:r>
    </w:p>
    <w:p>
      <w:pPr>
        <w:pStyle w:val="7"/>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w:t>
      </w:r>
      <w:r>
        <w:rPr>
          <w:rFonts w:ascii="Times New Roman" w:hAnsi="Times New Roman" w:eastAsia="仿宋_GB2312" w:cs="Times New Roman"/>
          <w:color w:val="auto"/>
          <w:kern w:val="2"/>
          <w:sz w:val="28"/>
          <w:szCs w:val="28"/>
          <w:highlight w:val="none"/>
          <w:lang w:val="en-US" w:eastAsia="zh-CN" w:bidi="ar-SA"/>
        </w:rPr>
        <w:t>.1项目支出</w:t>
      </w:r>
    </w:p>
    <w:p>
      <w:pPr>
        <w:pStyle w:val="24"/>
        <w:adjustRightInd w:val="0"/>
        <w:snapToGrid w:val="0"/>
        <w:spacing w:line="336" w:lineRule="auto"/>
        <w:ind w:firstLine="560" w:firstLineChars="200"/>
        <w:rPr>
          <w:rFonts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本期</w:t>
      </w:r>
      <w:r>
        <w:rPr>
          <w:rFonts w:ascii="Times New Roman" w:hAnsi="Times New Roman" w:eastAsia="仿宋_GB2312" w:cs="Times New Roman"/>
          <w:color w:val="auto"/>
          <w:kern w:val="2"/>
          <w:sz w:val="28"/>
          <w:szCs w:val="28"/>
          <w:highlight w:val="none"/>
          <w:lang w:val="en-US" w:eastAsia="zh-CN" w:bidi="ar-SA"/>
        </w:rPr>
        <w:t>项目支出人民币</w:t>
      </w:r>
      <w:r>
        <w:rPr>
          <w:rFonts w:hint="default" w:ascii="Times New Roman" w:hAnsi="Times New Roman" w:eastAsia="仿宋_GB2312" w:cs="Times New Roman"/>
          <w:color w:val="auto"/>
          <w:kern w:val="2"/>
          <w:sz w:val="28"/>
          <w:szCs w:val="28"/>
          <w:highlight w:val="none"/>
          <w:lang w:val="en-US" w:eastAsia="zh-CN" w:bidi="ar-SA"/>
        </w:rPr>
        <w:t>414,098</w:t>
      </w:r>
      <w:r>
        <w:rPr>
          <w:rFonts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338.83</w:t>
      </w:r>
      <w:r>
        <w:rPr>
          <w:rFonts w:ascii="Times New Roman" w:hAnsi="Times New Roman" w:eastAsia="仿宋_GB2312" w:cs="Times New Roman"/>
          <w:color w:val="auto"/>
          <w:kern w:val="2"/>
          <w:sz w:val="28"/>
          <w:szCs w:val="28"/>
          <w:highlight w:val="none"/>
          <w:lang w:val="en-US" w:eastAsia="zh-CN" w:bidi="ar-SA"/>
        </w:rPr>
        <w:t>元，累计</w:t>
      </w:r>
      <w:r>
        <w:rPr>
          <w:rFonts w:hint="default" w:ascii="Times New Roman" w:hAnsi="Times New Roman" w:eastAsia="仿宋_GB2312" w:cs="Times New Roman"/>
          <w:color w:val="auto"/>
          <w:kern w:val="2"/>
          <w:sz w:val="28"/>
          <w:szCs w:val="28"/>
          <w:highlight w:val="none"/>
          <w:lang w:val="en-US" w:eastAsia="zh-CN" w:bidi="ar-SA"/>
        </w:rPr>
        <w:t>项目</w:t>
      </w:r>
      <w:r>
        <w:rPr>
          <w:rFonts w:ascii="Times New Roman" w:hAnsi="Times New Roman" w:eastAsia="仿宋_GB2312" w:cs="Times New Roman"/>
          <w:color w:val="auto"/>
          <w:kern w:val="2"/>
          <w:sz w:val="28"/>
          <w:szCs w:val="28"/>
          <w:highlight w:val="none"/>
          <w:lang w:val="en-US" w:eastAsia="zh-CN" w:bidi="ar-SA"/>
        </w:rPr>
        <w:t>支出人民币</w:t>
      </w:r>
      <w:r>
        <w:rPr>
          <w:rFonts w:hint="default" w:ascii="Times New Roman" w:hAnsi="Times New Roman" w:eastAsia="仿宋_GB2312" w:cs="Times New Roman"/>
          <w:color w:val="auto"/>
          <w:kern w:val="2"/>
          <w:sz w:val="28"/>
          <w:szCs w:val="28"/>
          <w:highlight w:val="none"/>
          <w:lang w:val="en-US" w:eastAsia="zh-CN" w:bidi="ar-SA"/>
        </w:rPr>
        <w:t>538,355,866.05</w:t>
      </w:r>
      <w:r>
        <w:rPr>
          <w:rFonts w:ascii="Times New Roman" w:hAnsi="Times New Roman" w:eastAsia="仿宋_GB2312" w:cs="Times New Roman"/>
          <w:color w:val="auto"/>
          <w:kern w:val="2"/>
          <w:sz w:val="28"/>
          <w:szCs w:val="28"/>
          <w:highlight w:val="none"/>
          <w:lang w:val="en-US" w:eastAsia="zh-CN" w:bidi="ar-SA"/>
        </w:rPr>
        <w:t>元，占总投资计划的</w:t>
      </w:r>
      <w:r>
        <w:rPr>
          <w:rFonts w:hint="default" w:ascii="Times New Roman" w:hAnsi="Times New Roman" w:eastAsia="仿宋_GB2312" w:cs="Times New Roman"/>
          <w:color w:val="auto"/>
          <w:kern w:val="2"/>
          <w:sz w:val="28"/>
          <w:szCs w:val="28"/>
          <w:highlight w:val="none"/>
          <w:lang w:val="en-US" w:eastAsia="zh-CN" w:bidi="ar-SA"/>
        </w:rPr>
        <w:t>24.62</w:t>
      </w:r>
      <w:r>
        <w:rPr>
          <w:rFonts w:ascii="Times New Roman" w:hAnsi="Times New Roman" w:eastAsia="仿宋_GB2312" w:cs="Times New Roman"/>
          <w:color w:val="auto"/>
          <w:kern w:val="2"/>
          <w:sz w:val="28"/>
          <w:szCs w:val="28"/>
          <w:highlight w:val="none"/>
          <w:lang w:val="en-US" w:eastAsia="zh-CN" w:bidi="ar-SA"/>
        </w:rPr>
        <w:t>%。</w:t>
      </w:r>
    </w:p>
    <w:p>
      <w:pPr>
        <w:pStyle w:val="24"/>
        <w:adjustRightInd w:val="0"/>
        <w:snapToGrid w:val="0"/>
        <w:spacing w:line="336" w:lineRule="auto"/>
        <w:ind w:firstLine="560" w:firstLineChars="200"/>
        <w:rPr>
          <w:rFonts w:hint="default" w:ascii="Times New Roman" w:hAnsi="Times New Roman" w:eastAsia="仿宋_GB2312" w:cs="Times New Roman"/>
          <w:color w:val="auto"/>
          <w:kern w:val="2"/>
          <w:sz w:val="28"/>
          <w:szCs w:val="28"/>
          <w:highlight w:val="none"/>
          <w:lang w:val="en-US" w:eastAsia="zh-CN" w:bidi="ar-SA"/>
        </w:rPr>
      </w:pPr>
    </w:p>
    <w:p>
      <w:pPr>
        <w:pStyle w:val="7"/>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w:t>
      </w:r>
      <w:r>
        <w:rPr>
          <w:rFonts w:ascii="Times New Roman" w:hAnsi="Times New Roman" w:eastAsia="仿宋_GB2312" w:cs="Times New Roman"/>
          <w:color w:val="auto"/>
          <w:kern w:val="2"/>
          <w:sz w:val="28"/>
          <w:szCs w:val="28"/>
          <w:highlight w:val="none"/>
          <w:lang w:val="en-US" w:eastAsia="zh-CN" w:bidi="ar-SA"/>
        </w:rPr>
        <w:t>.2货币资金</w:t>
      </w:r>
    </w:p>
    <w:p>
      <w:pPr>
        <w:pStyle w:val="24"/>
        <w:adjustRightInd w:val="0"/>
        <w:snapToGrid w:val="0"/>
        <w:spacing w:line="300" w:lineRule="auto"/>
        <w:ind w:firstLine="560" w:firstLineChars="200"/>
        <w:rPr>
          <w:rFonts w:hint="default" w:ascii="Times New Roman" w:hAnsi="Times New Roman" w:eastAsia="仿宋_GB2312" w:cs="Times New Roman"/>
          <w:color w:val="auto"/>
          <w:kern w:val="2"/>
          <w:sz w:val="28"/>
          <w:szCs w:val="28"/>
          <w:highlight w:val="none"/>
          <w:lang w:val="en-US" w:eastAsia="zh-CN" w:bidi="ar-SA"/>
        </w:rPr>
      </w:pPr>
      <w:r>
        <w:rPr>
          <w:rFonts w:ascii="Times New Roman" w:hAnsi="Times New Roman" w:eastAsia="仿宋_GB2312" w:cs="Times New Roman"/>
          <w:color w:val="auto"/>
          <w:kern w:val="2"/>
          <w:sz w:val="28"/>
          <w:szCs w:val="28"/>
          <w:highlight w:val="none"/>
          <w:lang w:val="en-US" w:eastAsia="zh-CN" w:bidi="ar-SA"/>
        </w:rPr>
        <w:t>20</w:t>
      </w:r>
      <w:r>
        <w:rPr>
          <w:rFonts w:hint="default" w:ascii="Times New Roman" w:hAnsi="Times New Roman" w:eastAsia="仿宋_GB2312" w:cs="Times New Roman"/>
          <w:color w:val="auto"/>
          <w:kern w:val="2"/>
          <w:sz w:val="28"/>
          <w:szCs w:val="28"/>
          <w:highlight w:val="none"/>
          <w:lang w:val="en-US" w:eastAsia="zh-CN" w:bidi="ar-SA"/>
        </w:rPr>
        <w:t>19</w:t>
      </w:r>
      <w:r>
        <w:rPr>
          <w:rFonts w:ascii="Times New Roman" w:hAnsi="Times New Roman" w:eastAsia="仿宋_GB2312" w:cs="Times New Roman"/>
          <w:color w:val="auto"/>
          <w:kern w:val="2"/>
          <w:sz w:val="28"/>
          <w:szCs w:val="28"/>
          <w:highlight w:val="none"/>
          <w:lang w:val="en-US" w:eastAsia="zh-CN" w:bidi="ar-SA"/>
        </w:rPr>
        <w:t>年</w:t>
      </w:r>
      <w:r>
        <w:rPr>
          <w:rFonts w:hint="default" w:ascii="Times New Roman" w:hAnsi="Times New Roman" w:eastAsia="仿宋_GB2312" w:cs="Times New Roman"/>
          <w:color w:val="auto"/>
          <w:kern w:val="2"/>
          <w:sz w:val="28"/>
          <w:szCs w:val="28"/>
          <w:highlight w:val="none"/>
          <w:lang w:val="en-US" w:eastAsia="zh-CN" w:bidi="ar-SA"/>
        </w:rPr>
        <w:t>12</w:t>
      </w:r>
      <w:r>
        <w:rPr>
          <w:rFonts w:ascii="Times New Roman" w:hAnsi="Times New Roman" w:eastAsia="仿宋_GB2312" w:cs="Times New Roman"/>
          <w:color w:val="auto"/>
          <w:kern w:val="2"/>
          <w:sz w:val="28"/>
          <w:szCs w:val="28"/>
          <w:highlight w:val="none"/>
          <w:lang w:val="en-US" w:eastAsia="zh-CN" w:bidi="ar-SA"/>
        </w:rPr>
        <w:t>月3</w:t>
      </w:r>
      <w:r>
        <w:rPr>
          <w:rFonts w:hint="default" w:ascii="Times New Roman" w:hAnsi="Times New Roman" w:eastAsia="仿宋_GB2312" w:cs="Times New Roman"/>
          <w:color w:val="auto"/>
          <w:kern w:val="2"/>
          <w:sz w:val="28"/>
          <w:szCs w:val="28"/>
          <w:highlight w:val="none"/>
          <w:lang w:val="en-US" w:eastAsia="zh-CN" w:bidi="ar-SA"/>
        </w:rPr>
        <w:t>1</w:t>
      </w:r>
      <w:r>
        <w:rPr>
          <w:rFonts w:ascii="Times New Roman" w:hAnsi="Times New Roman" w:eastAsia="仿宋_GB2312" w:cs="Times New Roman"/>
          <w:color w:val="auto"/>
          <w:kern w:val="2"/>
          <w:sz w:val="28"/>
          <w:szCs w:val="28"/>
          <w:highlight w:val="none"/>
          <w:lang w:val="en-US" w:eastAsia="zh-CN" w:bidi="ar-SA"/>
        </w:rPr>
        <w:t>日货币资金余额为人民币</w:t>
      </w:r>
      <w:r>
        <w:rPr>
          <w:rFonts w:hint="default" w:ascii="Times New Roman" w:hAnsi="Times New Roman" w:eastAsia="仿宋_GB2312" w:cs="Times New Roman"/>
          <w:color w:val="auto"/>
          <w:kern w:val="2"/>
          <w:sz w:val="28"/>
          <w:szCs w:val="28"/>
          <w:highlight w:val="none"/>
          <w:lang w:val="en-US" w:eastAsia="zh-CN" w:bidi="ar-SA"/>
        </w:rPr>
        <w:t>32,589,557.80</w:t>
      </w:r>
      <w:r>
        <w:rPr>
          <w:rFonts w:ascii="Times New Roman" w:hAnsi="Times New Roman" w:eastAsia="仿宋_GB2312" w:cs="Times New Roman"/>
          <w:color w:val="auto"/>
          <w:kern w:val="2"/>
          <w:sz w:val="28"/>
          <w:szCs w:val="28"/>
          <w:highlight w:val="none"/>
          <w:lang w:val="en-US" w:eastAsia="zh-CN" w:bidi="ar-SA"/>
        </w:rPr>
        <w:t>元，</w:t>
      </w:r>
      <w:r>
        <w:rPr>
          <w:rFonts w:hint="default" w:ascii="Times New Roman" w:hAnsi="Times New Roman" w:eastAsia="仿宋_GB2312" w:cs="Times New Roman"/>
          <w:color w:val="auto"/>
          <w:kern w:val="2"/>
          <w:sz w:val="28"/>
          <w:szCs w:val="28"/>
          <w:highlight w:val="none"/>
          <w:lang w:val="en-US" w:eastAsia="zh-CN" w:bidi="ar-SA"/>
        </w:rPr>
        <w:t>其中指定账户存款折合人民币32,589,557.80元。</w:t>
      </w:r>
    </w:p>
    <w:p>
      <w:pPr>
        <w:pStyle w:val="24"/>
        <w:adjustRightInd w:val="0"/>
        <w:snapToGrid w:val="0"/>
        <w:spacing w:line="300" w:lineRule="auto"/>
        <w:ind w:firstLine="560" w:firstLineChars="200"/>
        <w:rPr>
          <w:rFonts w:ascii="Times New Roman" w:hAnsi="Times New Roman" w:eastAsia="仿宋_GB2312" w:cs="Times New Roman"/>
          <w:color w:val="auto"/>
          <w:kern w:val="2"/>
          <w:sz w:val="28"/>
          <w:szCs w:val="28"/>
          <w:highlight w:val="none"/>
          <w:lang w:val="en-US" w:eastAsia="zh-CN" w:bidi="ar-SA"/>
        </w:rPr>
      </w:pPr>
    </w:p>
    <w:p>
      <w:pPr>
        <w:pStyle w:val="7"/>
        <w:spacing w:before="156" w:beforeLines="50"/>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4.3预付及应收款</w:t>
      </w:r>
    </w:p>
    <w:p>
      <w:pPr>
        <w:pStyle w:val="7"/>
        <w:spacing w:before="156" w:beforeLines="50"/>
        <w:rPr>
          <w:rFonts w:hint="default" w:ascii="Times New Roman" w:hAnsi="Times New Roman" w:eastAsia="仿宋_GB2312" w:cs="Times New Roman"/>
          <w:color w:val="auto"/>
          <w:kern w:val="2"/>
          <w:sz w:val="28"/>
          <w:szCs w:val="28"/>
          <w:highlight w:val="none"/>
          <w:lang w:val="en-US" w:eastAsia="zh-CN" w:bidi="ar-SA"/>
        </w:rPr>
      </w:pPr>
      <w:r>
        <w:rPr>
          <w:rFonts w:ascii="Times New Roman" w:hAnsi="Times New Roman" w:eastAsia="仿宋_GB2312" w:cs="Times New Roman"/>
          <w:color w:val="auto"/>
          <w:kern w:val="2"/>
          <w:sz w:val="28"/>
          <w:szCs w:val="28"/>
          <w:highlight w:val="none"/>
          <w:lang w:val="en-US" w:eastAsia="zh-CN" w:bidi="ar-SA"/>
        </w:rPr>
        <w:t>20</w:t>
      </w:r>
      <w:r>
        <w:rPr>
          <w:rFonts w:hint="default" w:ascii="Times New Roman" w:hAnsi="Times New Roman" w:eastAsia="仿宋_GB2312" w:cs="Times New Roman"/>
          <w:color w:val="auto"/>
          <w:kern w:val="2"/>
          <w:sz w:val="28"/>
          <w:szCs w:val="28"/>
          <w:highlight w:val="none"/>
          <w:lang w:val="en-US" w:eastAsia="zh-CN" w:bidi="ar-SA"/>
        </w:rPr>
        <w:t>19</w:t>
      </w:r>
      <w:r>
        <w:rPr>
          <w:rFonts w:ascii="Times New Roman" w:hAnsi="Times New Roman" w:eastAsia="仿宋_GB2312" w:cs="Times New Roman"/>
          <w:color w:val="auto"/>
          <w:kern w:val="2"/>
          <w:sz w:val="28"/>
          <w:szCs w:val="28"/>
          <w:highlight w:val="none"/>
          <w:lang w:val="en-US" w:eastAsia="zh-CN" w:bidi="ar-SA"/>
        </w:rPr>
        <w:t>年</w:t>
      </w:r>
      <w:r>
        <w:rPr>
          <w:rFonts w:hint="default" w:ascii="Times New Roman" w:hAnsi="Times New Roman" w:eastAsia="仿宋_GB2312" w:cs="Times New Roman"/>
          <w:color w:val="auto"/>
          <w:kern w:val="2"/>
          <w:sz w:val="28"/>
          <w:szCs w:val="28"/>
          <w:highlight w:val="none"/>
          <w:lang w:val="en-US" w:eastAsia="zh-CN" w:bidi="ar-SA"/>
        </w:rPr>
        <w:t>12</w:t>
      </w:r>
      <w:r>
        <w:rPr>
          <w:rFonts w:ascii="Times New Roman" w:hAnsi="Times New Roman" w:eastAsia="仿宋_GB2312" w:cs="Times New Roman"/>
          <w:color w:val="auto"/>
          <w:kern w:val="2"/>
          <w:sz w:val="28"/>
          <w:szCs w:val="28"/>
          <w:highlight w:val="none"/>
          <w:lang w:val="en-US" w:eastAsia="zh-CN" w:bidi="ar-SA"/>
        </w:rPr>
        <w:t>月3</w:t>
      </w:r>
      <w:r>
        <w:rPr>
          <w:rFonts w:hint="default" w:ascii="Times New Roman" w:hAnsi="Times New Roman" w:eastAsia="仿宋_GB2312" w:cs="Times New Roman"/>
          <w:color w:val="auto"/>
          <w:kern w:val="2"/>
          <w:sz w:val="28"/>
          <w:szCs w:val="28"/>
          <w:highlight w:val="none"/>
          <w:lang w:val="en-US" w:eastAsia="zh-CN" w:bidi="ar-SA"/>
        </w:rPr>
        <w:t>1</w:t>
      </w:r>
      <w:r>
        <w:rPr>
          <w:rFonts w:ascii="Times New Roman" w:hAnsi="Times New Roman" w:eastAsia="仿宋_GB2312" w:cs="Times New Roman"/>
          <w:color w:val="auto"/>
          <w:kern w:val="2"/>
          <w:sz w:val="28"/>
          <w:szCs w:val="28"/>
          <w:highlight w:val="none"/>
          <w:lang w:val="en-US" w:eastAsia="zh-CN" w:bidi="ar-SA"/>
        </w:rPr>
        <w:t>日</w:t>
      </w:r>
      <w:r>
        <w:rPr>
          <w:rFonts w:hint="default" w:ascii="Times New Roman" w:hAnsi="Times New Roman" w:eastAsia="仿宋_GB2312" w:cs="Times New Roman"/>
          <w:color w:val="auto"/>
          <w:kern w:val="2"/>
          <w:sz w:val="28"/>
          <w:szCs w:val="28"/>
          <w:highlight w:val="none"/>
          <w:lang w:val="en-US" w:eastAsia="zh-CN" w:bidi="ar-SA"/>
        </w:rPr>
        <w:t>余额为人民币69,290,135.32元，主要为各子项目截至2019年底</w:t>
      </w:r>
      <w:r>
        <w:rPr>
          <w:rFonts w:hint="eastAsia" w:ascii="Times New Roman" w:hAnsi="Times New Roman" w:eastAsia="仿宋_GB2312" w:cs="Times New Roman"/>
          <w:color w:val="auto"/>
          <w:kern w:val="2"/>
          <w:sz w:val="28"/>
          <w:szCs w:val="28"/>
          <w:highlight w:val="none"/>
          <w:lang w:val="en-US" w:eastAsia="zh-CN" w:bidi="ar-SA"/>
        </w:rPr>
        <w:t>的</w:t>
      </w:r>
      <w:r>
        <w:rPr>
          <w:rFonts w:hint="default" w:ascii="Times New Roman" w:hAnsi="Times New Roman" w:eastAsia="仿宋_GB2312" w:cs="Times New Roman"/>
          <w:color w:val="auto"/>
          <w:kern w:val="2"/>
          <w:sz w:val="28"/>
          <w:szCs w:val="28"/>
          <w:highlight w:val="none"/>
          <w:lang w:val="en-US" w:eastAsia="zh-CN" w:bidi="ar-SA"/>
        </w:rPr>
        <w:t>工程预付款和预付的征地拆迁费用。</w:t>
      </w:r>
    </w:p>
    <w:p>
      <w:pPr>
        <w:pStyle w:val="7"/>
        <w:spacing w:before="156" w:beforeLines="50"/>
        <w:rPr>
          <w:rFonts w:hint="default" w:ascii="Times New Roman" w:hAnsi="Times New Roman" w:eastAsia="仿宋_GB2312" w:cs="Times New Roman"/>
          <w:color w:val="auto"/>
          <w:kern w:val="2"/>
          <w:sz w:val="28"/>
          <w:szCs w:val="28"/>
          <w:highlight w:val="none"/>
          <w:lang w:val="en-US" w:eastAsia="zh-CN" w:bidi="ar-SA"/>
        </w:rPr>
      </w:pPr>
    </w:p>
    <w:p>
      <w:pPr>
        <w:pStyle w:val="7"/>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w:t>
      </w:r>
      <w:r>
        <w:rPr>
          <w:rFonts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4</w:t>
      </w:r>
      <w:r>
        <w:rPr>
          <w:rFonts w:ascii="Times New Roman" w:hAnsi="Times New Roman" w:eastAsia="仿宋_GB2312" w:cs="Times New Roman"/>
          <w:color w:val="auto"/>
          <w:kern w:val="2"/>
          <w:sz w:val="28"/>
          <w:szCs w:val="28"/>
          <w:highlight w:val="none"/>
          <w:lang w:val="en-US" w:eastAsia="zh-CN" w:bidi="ar-SA"/>
        </w:rPr>
        <w:t>项目拨款</w:t>
      </w:r>
    </w:p>
    <w:p>
      <w:pPr>
        <w:pStyle w:val="7"/>
        <w:rPr>
          <w:rFonts w:hint="default" w:ascii="Times New Roman" w:hAnsi="Times New Roman" w:eastAsia="仿宋_GB2312" w:cs="Times New Roman"/>
          <w:color w:val="auto"/>
          <w:kern w:val="2"/>
          <w:sz w:val="28"/>
          <w:szCs w:val="28"/>
          <w:highlight w:val="none"/>
          <w:lang w:val="en-US" w:eastAsia="zh-CN" w:bidi="ar-SA"/>
        </w:rPr>
      </w:pPr>
      <w:r>
        <w:rPr>
          <w:rFonts w:ascii="Times New Roman" w:hAnsi="Times New Roman" w:eastAsia="仿宋_GB2312" w:cs="Times New Roman"/>
          <w:color w:val="auto"/>
          <w:kern w:val="2"/>
          <w:sz w:val="28"/>
          <w:szCs w:val="28"/>
          <w:highlight w:val="none"/>
          <w:lang w:val="en-US" w:eastAsia="zh-CN" w:bidi="ar-SA"/>
        </w:rPr>
        <w:t>20</w:t>
      </w:r>
      <w:r>
        <w:rPr>
          <w:rFonts w:hint="default" w:ascii="Times New Roman" w:hAnsi="Times New Roman" w:eastAsia="仿宋_GB2312" w:cs="Times New Roman"/>
          <w:color w:val="auto"/>
          <w:kern w:val="2"/>
          <w:sz w:val="28"/>
          <w:szCs w:val="28"/>
          <w:highlight w:val="none"/>
          <w:lang w:val="en-US" w:eastAsia="zh-CN" w:bidi="ar-SA"/>
        </w:rPr>
        <w:t>19</w:t>
      </w:r>
      <w:r>
        <w:rPr>
          <w:rFonts w:ascii="Times New Roman" w:hAnsi="Times New Roman" w:eastAsia="仿宋_GB2312" w:cs="Times New Roman"/>
          <w:color w:val="auto"/>
          <w:kern w:val="2"/>
          <w:sz w:val="28"/>
          <w:szCs w:val="28"/>
          <w:highlight w:val="none"/>
          <w:lang w:val="en-US" w:eastAsia="zh-CN" w:bidi="ar-SA"/>
        </w:rPr>
        <w:t>年</w:t>
      </w:r>
      <w:r>
        <w:rPr>
          <w:rFonts w:hint="default" w:ascii="Times New Roman" w:hAnsi="Times New Roman" w:eastAsia="仿宋_GB2312" w:cs="Times New Roman"/>
          <w:color w:val="auto"/>
          <w:kern w:val="2"/>
          <w:sz w:val="28"/>
          <w:szCs w:val="28"/>
          <w:highlight w:val="none"/>
          <w:lang w:val="en-US" w:eastAsia="zh-CN" w:bidi="ar-SA"/>
        </w:rPr>
        <w:t>12</w:t>
      </w:r>
      <w:r>
        <w:rPr>
          <w:rFonts w:ascii="Times New Roman" w:hAnsi="Times New Roman" w:eastAsia="仿宋_GB2312" w:cs="Times New Roman"/>
          <w:color w:val="auto"/>
          <w:kern w:val="2"/>
          <w:sz w:val="28"/>
          <w:szCs w:val="28"/>
          <w:highlight w:val="none"/>
          <w:lang w:val="en-US" w:eastAsia="zh-CN" w:bidi="ar-SA"/>
        </w:rPr>
        <w:t>月3</w:t>
      </w:r>
      <w:r>
        <w:rPr>
          <w:rFonts w:hint="default" w:ascii="Times New Roman" w:hAnsi="Times New Roman" w:eastAsia="仿宋_GB2312" w:cs="Times New Roman"/>
          <w:color w:val="auto"/>
          <w:kern w:val="2"/>
          <w:sz w:val="28"/>
          <w:szCs w:val="28"/>
          <w:highlight w:val="none"/>
          <w:lang w:val="en-US" w:eastAsia="zh-CN" w:bidi="ar-SA"/>
        </w:rPr>
        <w:t>1</w:t>
      </w:r>
      <w:r>
        <w:rPr>
          <w:rFonts w:ascii="Times New Roman" w:hAnsi="Times New Roman" w:eastAsia="仿宋_GB2312" w:cs="Times New Roman"/>
          <w:color w:val="auto"/>
          <w:kern w:val="2"/>
          <w:sz w:val="28"/>
          <w:szCs w:val="28"/>
          <w:highlight w:val="none"/>
          <w:lang w:val="en-US" w:eastAsia="zh-CN" w:bidi="ar-SA"/>
        </w:rPr>
        <w:t>日余额为人民币</w:t>
      </w:r>
      <w:r>
        <w:rPr>
          <w:rFonts w:hint="default" w:ascii="Times New Roman" w:hAnsi="Times New Roman" w:eastAsia="仿宋_GB2312" w:cs="Times New Roman"/>
          <w:color w:val="auto"/>
          <w:kern w:val="2"/>
          <w:sz w:val="28"/>
          <w:szCs w:val="28"/>
          <w:highlight w:val="none"/>
          <w:lang w:val="en-US" w:eastAsia="zh-CN" w:bidi="ar-SA"/>
        </w:rPr>
        <w:t>124,502,507.15</w:t>
      </w:r>
      <w:r>
        <w:rPr>
          <w:rFonts w:ascii="Times New Roman" w:hAnsi="Times New Roman" w:eastAsia="仿宋_GB2312" w:cs="Times New Roman"/>
          <w:color w:val="auto"/>
          <w:kern w:val="2"/>
          <w:sz w:val="28"/>
          <w:szCs w:val="28"/>
          <w:highlight w:val="none"/>
          <w:lang w:val="en-US" w:eastAsia="zh-CN" w:bidi="ar-SA"/>
        </w:rPr>
        <w:t>元，是</w:t>
      </w:r>
      <w:r>
        <w:rPr>
          <w:rFonts w:hint="default" w:ascii="Times New Roman" w:hAnsi="Times New Roman" w:eastAsia="仿宋_GB2312" w:cs="Times New Roman"/>
          <w:color w:val="auto"/>
          <w:kern w:val="2"/>
          <w:sz w:val="28"/>
          <w:szCs w:val="28"/>
          <w:highlight w:val="none"/>
          <w:lang w:val="en-US" w:eastAsia="zh-CN" w:bidi="ar-SA"/>
        </w:rPr>
        <w:t>各项目县</w:t>
      </w:r>
      <w:r>
        <w:rPr>
          <w:rFonts w:hint="eastAsia"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区</w:t>
      </w:r>
      <w:r>
        <w:rPr>
          <w:rFonts w:hint="eastAsia"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财政及项目业主单位</w:t>
      </w:r>
      <w:r>
        <w:rPr>
          <w:rFonts w:ascii="Times New Roman" w:hAnsi="Times New Roman" w:eastAsia="仿宋_GB2312" w:cs="Times New Roman"/>
          <w:color w:val="auto"/>
          <w:kern w:val="2"/>
          <w:sz w:val="28"/>
          <w:szCs w:val="28"/>
          <w:highlight w:val="none"/>
          <w:lang w:val="en-US" w:eastAsia="zh-CN" w:bidi="ar-SA"/>
        </w:rPr>
        <w:t>到位的</w:t>
      </w:r>
      <w:r>
        <w:rPr>
          <w:rFonts w:hint="default" w:ascii="Times New Roman" w:hAnsi="Times New Roman" w:eastAsia="仿宋_GB2312" w:cs="Times New Roman"/>
          <w:color w:val="auto"/>
          <w:kern w:val="2"/>
          <w:sz w:val="28"/>
          <w:szCs w:val="28"/>
          <w:highlight w:val="none"/>
          <w:lang w:val="en-US" w:eastAsia="zh-CN" w:bidi="ar-SA"/>
        </w:rPr>
        <w:t>无偿</w:t>
      </w:r>
      <w:r>
        <w:rPr>
          <w:rFonts w:ascii="Times New Roman" w:hAnsi="Times New Roman" w:eastAsia="仿宋_GB2312" w:cs="Times New Roman"/>
          <w:color w:val="auto"/>
          <w:kern w:val="2"/>
          <w:sz w:val="28"/>
          <w:szCs w:val="28"/>
          <w:highlight w:val="none"/>
          <w:lang w:val="en-US" w:eastAsia="zh-CN" w:bidi="ar-SA"/>
        </w:rPr>
        <w:t>配套资金</w:t>
      </w:r>
      <w:r>
        <w:rPr>
          <w:rFonts w:hint="default" w:ascii="Times New Roman" w:hAnsi="Times New Roman" w:eastAsia="仿宋_GB2312" w:cs="Times New Roman"/>
          <w:color w:val="auto"/>
          <w:kern w:val="2"/>
          <w:sz w:val="28"/>
          <w:szCs w:val="28"/>
          <w:highlight w:val="none"/>
          <w:lang w:val="en-US" w:eastAsia="zh-CN" w:bidi="ar-SA"/>
        </w:rPr>
        <w:t>，</w:t>
      </w:r>
      <w:r>
        <w:rPr>
          <w:rFonts w:ascii="Times New Roman" w:hAnsi="Times New Roman" w:eastAsia="仿宋_GB2312" w:cs="Times New Roman"/>
          <w:color w:val="auto"/>
          <w:kern w:val="2"/>
          <w:sz w:val="28"/>
          <w:szCs w:val="28"/>
          <w:highlight w:val="none"/>
          <w:lang w:val="en-US" w:eastAsia="zh-CN" w:bidi="ar-SA"/>
        </w:rPr>
        <w:t>占</w:t>
      </w:r>
      <w:r>
        <w:rPr>
          <w:rFonts w:hint="default" w:ascii="Times New Roman" w:hAnsi="Times New Roman" w:eastAsia="仿宋_GB2312" w:cs="Times New Roman"/>
          <w:color w:val="auto"/>
          <w:kern w:val="2"/>
          <w:sz w:val="28"/>
          <w:szCs w:val="28"/>
          <w:highlight w:val="none"/>
          <w:lang w:val="en-US" w:eastAsia="zh-CN" w:bidi="ar-SA"/>
        </w:rPr>
        <w:t>总</w:t>
      </w:r>
      <w:r>
        <w:rPr>
          <w:rFonts w:ascii="Times New Roman" w:hAnsi="Times New Roman" w:eastAsia="仿宋_GB2312" w:cs="Times New Roman"/>
          <w:color w:val="auto"/>
          <w:kern w:val="2"/>
          <w:sz w:val="28"/>
          <w:szCs w:val="28"/>
          <w:highlight w:val="none"/>
          <w:lang w:val="en-US" w:eastAsia="zh-CN" w:bidi="ar-SA"/>
        </w:rPr>
        <w:t>计划的</w:t>
      </w:r>
      <w:r>
        <w:rPr>
          <w:rFonts w:hint="default" w:ascii="Times New Roman" w:hAnsi="Times New Roman" w:eastAsia="仿宋_GB2312" w:cs="Times New Roman"/>
          <w:color w:val="auto"/>
          <w:kern w:val="2"/>
          <w:sz w:val="28"/>
          <w:szCs w:val="28"/>
          <w:highlight w:val="none"/>
          <w:lang w:val="en-US" w:eastAsia="zh-CN" w:bidi="ar-SA"/>
        </w:rPr>
        <w:t>28.82</w:t>
      </w:r>
      <w:r>
        <w:rPr>
          <w:rFonts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w:t>
      </w:r>
    </w:p>
    <w:p>
      <w:pPr>
        <w:pStyle w:val="7"/>
        <w:rPr>
          <w:rFonts w:hint="default" w:ascii="Times New Roman" w:hAnsi="Times New Roman" w:eastAsia="仿宋_GB2312" w:cs="Times New Roman"/>
          <w:color w:val="auto"/>
          <w:kern w:val="2"/>
          <w:sz w:val="28"/>
          <w:szCs w:val="28"/>
          <w:highlight w:val="none"/>
          <w:lang w:val="en-US" w:eastAsia="zh-CN" w:bidi="ar-SA"/>
        </w:rPr>
      </w:pPr>
    </w:p>
    <w:p>
      <w:pPr>
        <w:pStyle w:val="7"/>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w:t>
      </w:r>
      <w:r>
        <w:rPr>
          <w:rFonts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5</w:t>
      </w:r>
      <w:r>
        <w:rPr>
          <w:rFonts w:ascii="Times New Roman" w:hAnsi="Times New Roman" w:eastAsia="仿宋_GB2312" w:cs="Times New Roman"/>
          <w:color w:val="auto"/>
          <w:kern w:val="2"/>
          <w:sz w:val="28"/>
          <w:szCs w:val="28"/>
          <w:highlight w:val="none"/>
          <w:lang w:val="en-US" w:eastAsia="zh-CN" w:bidi="ar-SA"/>
        </w:rPr>
        <w:t>项目借款</w:t>
      </w:r>
    </w:p>
    <w:p>
      <w:pPr>
        <w:pStyle w:val="7"/>
        <w:rPr>
          <w:rFonts w:hint="default" w:ascii="Times New Roman" w:hAnsi="Times New Roman" w:eastAsia="仿宋_GB2312" w:cs="Times New Roman"/>
          <w:color w:val="auto"/>
          <w:kern w:val="2"/>
          <w:sz w:val="28"/>
          <w:szCs w:val="28"/>
          <w:highlight w:val="none"/>
          <w:lang w:val="en-US" w:eastAsia="zh-CN" w:bidi="ar-SA"/>
        </w:rPr>
      </w:pPr>
      <w:r>
        <w:rPr>
          <w:rFonts w:ascii="Times New Roman" w:hAnsi="Times New Roman" w:eastAsia="仿宋_GB2312" w:cs="Times New Roman"/>
          <w:color w:val="auto"/>
          <w:kern w:val="2"/>
          <w:sz w:val="28"/>
          <w:szCs w:val="28"/>
          <w:highlight w:val="none"/>
          <w:lang w:val="en-US" w:eastAsia="zh-CN" w:bidi="ar-SA"/>
        </w:rPr>
        <w:t>20</w:t>
      </w:r>
      <w:r>
        <w:rPr>
          <w:rFonts w:hint="default" w:ascii="Times New Roman" w:hAnsi="Times New Roman" w:eastAsia="仿宋_GB2312" w:cs="Times New Roman"/>
          <w:color w:val="auto"/>
          <w:kern w:val="2"/>
          <w:sz w:val="28"/>
          <w:szCs w:val="28"/>
          <w:highlight w:val="none"/>
          <w:lang w:val="en-US" w:eastAsia="zh-CN" w:bidi="ar-SA"/>
        </w:rPr>
        <w:t>19</w:t>
      </w:r>
      <w:r>
        <w:rPr>
          <w:rFonts w:ascii="Times New Roman" w:hAnsi="Times New Roman" w:eastAsia="仿宋_GB2312" w:cs="Times New Roman"/>
          <w:color w:val="auto"/>
          <w:kern w:val="2"/>
          <w:sz w:val="28"/>
          <w:szCs w:val="28"/>
          <w:highlight w:val="none"/>
          <w:lang w:val="en-US" w:eastAsia="zh-CN" w:bidi="ar-SA"/>
        </w:rPr>
        <w:t>年</w:t>
      </w:r>
      <w:r>
        <w:rPr>
          <w:rFonts w:hint="default" w:ascii="Times New Roman" w:hAnsi="Times New Roman" w:eastAsia="仿宋_GB2312" w:cs="Times New Roman"/>
          <w:color w:val="auto"/>
          <w:kern w:val="2"/>
          <w:sz w:val="28"/>
          <w:szCs w:val="28"/>
          <w:highlight w:val="none"/>
          <w:lang w:val="en-US" w:eastAsia="zh-CN" w:bidi="ar-SA"/>
        </w:rPr>
        <w:t>12</w:t>
      </w:r>
      <w:r>
        <w:rPr>
          <w:rFonts w:ascii="Times New Roman" w:hAnsi="Times New Roman" w:eastAsia="仿宋_GB2312" w:cs="Times New Roman"/>
          <w:color w:val="auto"/>
          <w:kern w:val="2"/>
          <w:sz w:val="28"/>
          <w:szCs w:val="28"/>
          <w:highlight w:val="none"/>
          <w:lang w:val="en-US" w:eastAsia="zh-CN" w:bidi="ar-SA"/>
        </w:rPr>
        <w:t>月3</w:t>
      </w:r>
      <w:r>
        <w:rPr>
          <w:rFonts w:hint="default" w:ascii="Times New Roman" w:hAnsi="Times New Roman" w:eastAsia="仿宋_GB2312" w:cs="Times New Roman"/>
          <w:color w:val="auto"/>
          <w:kern w:val="2"/>
          <w:sz w:val="28"/>
          <w:szCs w:val="28"/>
          <w:highlight w:val="none"/>
          <w:lang w:val="en-US" w:eastAsia="zh-CN" w:bidi="ar-SA"/>
        </w:rPr>
        <w:t>1</w:t>
      </w:r>
      <w:r>
        <w:rPr>
          <w:rFonts w:ascii="Times New Roman" w:hAnsi="Times New Roman" w:eastAsia="仿宋_GB2312" w:cs="Times New Roman"/>
          <w:color w:val="auto"/>
          <w:kern w:val="2"/>
          <w:sz w:val="28"/>
          <w:szCs w:val="28"/>
          <w:highlight w:val="none"/>
          <w:lang w:val="en-US" w:eastAsia="zh-CN" w:bidi="ar-SA"/>
        </w:rPr>
        <w:t>日</w:t>
      </w:r>
      <w:r>
        <w:rPr>
          <w:rFonts w:hint="default" w:ascii="Times New Roman" w:hAnsi="Times New Roman" w:eastAsia="仿宋_GB2312" w:cs="Times New Roman"/>
          <w:color w:val="auto"/>
          <w:kern w:val="2"/>
          <w:sz w:val="28"/>
          <w:szCs w:val="28"/>
          <w:highlight w:val="none"/>
          <w:lang w:val="en-US" w:eastAsia="zh-CN" w:bidi="ar-SA"/>
        </w:rPr>
        <w:t>项目借款</w:t>
      </w:r>
      <w:r>
        <w:rPr>
          <w:rFonts w:ascii="Times New Roman" w:hAnsi="Times New Roman" w:eastAsia="仿宋_GB2312" w:cs="Times New Roman"/>
          <w:color w:val="auto"/>
          <w:kern w:val="2"/>
          <w:sz w:val="28"/>
          <w:szCs w:val="28"/>
          <w:highlight w:val="none"/>
          <w:lang w:val="en-US" w:eastAsia="zh-CN" w:bidi="ar-SA"/>
        </w:rPr>
        <w:t>余额为人民币</w:t>
      </w:r>
      <w:r>
        <w:rPr>
          <w:rFonts w:hint="default" w:ascii="Times New Roman" w:hAnsi="Times New Roman" w:eastAsia="仿宋_GB2312" w:cs="Times New Roman"/>
          <w:color w:val="auto"/>
          <w:kern w:val="2"/>
          <w:sz w:val="28"/>
          <w:szCs w:val="28"/>
          <w:highlight w:val="none"/>
          <w:lang w:val="en-US" w:eastAsia="zh-CN" w:bidi="ar-SA"/>
        </w:rPr>
        <w:t>448,081,051.85</w:t>
      </w:r>
      <w:r>
        <w:rPr>
          <w:rFonts w:ascii="Times New Roman" w:hAnsi="Times New Roman" w:eastAsia="仿宋_GB2312" w:cs="Times New Roman"/>
          <w:color w:val="auto"/>
          <w:kern w:val="2"/>
          <w:sz w:val="28"/>
          <w:szCs w:val="28"/>
          <w:highlight w:val="none"/>
          <w:lang w:val="en-US" w:eastAsia="zh-CN" w:bidi="ar-SA"/>
        </w:rPr>
        <w:t>元</w:t>
      </w:r>
      <w:r>
        <w:rPr>
          <w:rFonts w:hint="default" w:ascii="Times New Roman" w:hAnsi="Times New Roman" w:eastAsia="仿宋_GB2312" w:cs="Times New Roman"/>
          <w:color w:val="auto"/>
          <w:kern w:val="2"/>
          <w:sz w:val="28"/>
          <w:szCs w:val="28"/>
          <w:highlight w:val="none"/>
          <w:lang w:val="en-US" w:eastAsia="zh-CN" w:bidi="ar-SA"/>
        </w:rPr>
        <w:t>，</w:t>
      </w:r>
      <w:r>
        <w:rPr>
          <w:rFonts w:hint="eastAsia" w:ascii="Times New Roman" w:hAnsi="Times New Roman" w:eastAsia="仿宋_GB2312" w:cs="Times New Roman"/>
          <w:color w:val="auto"/>
          <w:kern w:val="2"/>
          <w:sz w:val="28"/>
          <w:szCs w:val="28"/>
          <w:highlight w:val="none"/>
          <w:lang w:val="en-US" w:eastAsia="zh-CN" w:bidi="ar-SA"/>
        </w:rPr>
        <w:t>是</w:t>
      </w:r>
      <w:r>
        <w:rPr>
          <w:rFonts w:ascii="Times New Roman" w:hAnsi="Times New Roman" w:eastAsia="仿宋_GB2312" w:cs="Times New Roman"/>
          <w:color w:val="auto"/>
          <w:kern w:val="2"/>
          <w:sz w:val="28"/>
          <w:szCs w:val="28"/>
          <w:highlight w:val="none"/>
          <w:lang w:val="en-US" w:eastAsia="zh-CN" w:bidi="ar-SA"/>
        </w:rPr>
        <w:t>国际复兴开发银行</w:t>
      </w:r>
      <w:r>
        <w:rPr>
          <w:rFonts w:hint="eastAsia" w:ascii="Times New Roman" w:hAnsi="Times New Roman" w:eastAsia="仿宋_GB2312" w:cs="Times New Roman"/>
          <w:color w:val="auto"/>
          <w:kern w:val="2"/>
          <w:sz w:val="28"/>
          <w:szCs w:val="28"/>
          <w:highlight w:val="none"/>
          <w:lang w:val="en-US" w:eastAsia="zh-CN" w:bidi="ar-SA"/>
        </w:rPr>
        <w:t>的</w:t>
      </w:r>
      <w:r>
        <w:rPr>
          <w:rFonts w:ascii="Times New Roman" w:hAnsi="Times New Roman" w:eastAsia="仿宋_GB2312" w:cs="Times New Roman"/>
          <w:color w:val="auto"/>
          <w:kern w:val="2"/>
          <w:sz w:val="28"/>
          <w:szCs w:val="28"/>
          <w:highlight w:val="none"/>
          <w:lang w:val="en-US" w:eastAsia="zh-CN" w:bidi="ar-SA"/>
        </w:rPr>
        <w:t>贷款</w:t>
      </w:r>
      <w:r>
        <w:rPr>
          <w:rFonts w:hint="default" w:ascii="Times New Roman" w:hAnsi="Times New Roman" w:eastAsia="仿宋_GB2312" w:cs="Times New Roman"/>
          <w:color w:val="auto"/>
          <w:kern w:val="2"/>
          <w:sz w:val="28"/>
          <w:szCs w:val="28"/>
          <w:highlight w:val="none"/>
          <w:lang w:val="en-US" w:eastAsia="zh-CN" w:bidi="ar-SA"/>
        </w:rPr>
        <w:t>64,229,960.70美元，折合人民币448,081,051.85元。</w:t>
      </w:r>
    </w:p>
    <w:p>
      <w:pPr>
        <w:pStyle w:val="7"/>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截至</w:t>
      </w:r>
      <w:r>
        <w:rPr>
          <w:rFonts w:ascii="Times New Roman" w:hAnsi="Times New Roman" w:eastAsia="仿宋_GB2312" w:cs="Times New Roman"/>
          <w:color w:val="auto"/>
          <w:kern w:val="2"/>
          <w:sz w:val="28"/>
          <w:szCs w:val="28"/>
          <w:highlight w:val="none"/>
          <w:lang w:val="en-US" w:eastAsia="zh-CN" w:bidi="ar-SA"/>
        </w:rPr>
        <w:t>20</w:t>
      </w:r>
      <w:r>
        <w:rPr>
          <w:rFonts w:hint="default" w:ascii="Times New Roman" w:hAnsi="Times New Roman" w:eastAsia="仿宋_GB2312" w:cs="Times New Roman"/>
          <w:color w:val="auto"/>
          <w:kern w:val="2"/>
          <w:sz w:val="28"/>
          <w:szCs w:val="28"/>
          <w:highlight w:val="none"/>
          <w:lang w:val="en-US" w:eastAsia="zh-CN" w:bidi="ar-SA"/>
        </w:rPr>
        <w:t>19</w:t>
      </w:r>
      <w:r>
        <w:rPr>
          <w:rFonts w:ascii="Times New Roman" w:hAnsi="Times New Roman" w:eastAsia="仿宋_GB2312" w:cs="Times New Roman"/>
          <w:color w:val="auto"/>
          <w:kern w:val="2"/>
          <w:sz w:val="28"/>
          <w:szCs w:val="28"/>
          <w:highlight w:val="none"/>
          <w:lang w:val="en-US" w:eastAsia="zh-CN" w:bidi="ar-SA"/>
        </w:rPr>
        <w:t>年</w:t>
      </w:r>
      <w:r>
        <w:rPr>
          <w:rFonts w:hint="default" w:ascii="Times New Roman" w:hAnsi="Times New Roman" w:eastAsia="仿宋_GB2312" w:cs="Times New Roman"/>
          <w:color w:val="auto"/>
          <w:kern w:val="2"/>
          <w:sz w:val="28"/>
          <w:szCs w:val="28"/>
          <w:highlight w:val="none"/>
          <w:lang w:val="en-US" w:eastAsia="zh-CN" w:bidi="ar-SA"/>
        </w:rPr>
        <w:t>12</w:t>
      </w:r>
      <w:r>
        <w:rPr>
          <w:rFonts w:ascii="Times New Roman" w:hAnsi="Times New Roman" w:eastAsia="仿宋_GB2312" w:cs="Times New Roman"/>
          <w:color w:val="auto"/>
          <w:kern w:val="2"/>
          <w:sz w:val="28"/>
          <w:szCs w:val="28"/>
          <w:highlight w:val="none"/>
          <w:lang w:val="en-US" w:eastAsia="zh-CN" w:bidi="ar-SA"/>
        </w:rPr>
        <w:t>月3</w:t>
      </w:r>
      <w:r>
        <w:rPr>
          <w:rFonts w:hint="default" w:ascii="Times New Roman" w:hAnsi="Times New Roman" w:eastAsia="仿宋_GB2312" w:cs="Times New Roman"/>
          <w:color w:val="auto"/>
          <w:kern w:val="2"/>
          <w:sz w:val="28"/>
          <w:szCs w:val="28"/>
          <w:highlight w:val="none"/>
          <w:lang w:val="en-US" w:eastAsia="zh-CN" w:bidi="ar-SA"/>
        </w:rPr>
        <w:t>1</w:t>
      </w:r>
      <w:r>
        <w:rPr>
          <w:rFonts w:ascii="Times New Roman" w:hAnsi="Times New Roman" w:eastAsia="仿宋_GB2312" w:cs="Times New Roman"/>
          <w:color w:val="auto"/>
          <w:kern w:val="2"/>
          <w:sz w:val="28"/>
          <w:szCs w:val="28"/>
          <w:highlight w:val="none"/>
          <w:lang w:val="en-US" w:eastAsia="zh-CN" w:bidi="ar-SA"/>
        </w:rPr>
        <w:t>日</w:t>
      </w:r>
      <w:r>
        <w:rPr>
          <w:rFonts w:hint="default" w:ascii="Times New Roman" w:hAnsi="Times New Roman" w:eastAsia="仿宋_GB2312" w:cs="Times New Roman"/>
          <w:color w:val="auto"/>
          <w:kern w:val="2"/>
          <w:sz w:val="28"/>
          <w:szCs w:val="28"/>
          <w:highlight w:val="none"/>
          <w:lang w:val="en-US" w:eastAsia="zh-CN" w:bidi="ar-SA"/>
        </w:rPr>
        <w:t>，累计提取</w:t>
      </w:r>
      <w:r>
        <w:rPr>
          <w:rFonts w:ascii="Times New Roman" w:hAnsi="Times New Roman" w:eastAsia="仿宋_GB2312" w:cs="Times New Roman"/>
          <w:color w:val="auto"/>
          <w:kern w:val="2"/>
          <w:sz w:val="28"/>
          <w:szCs w:val="28"/>
          <w:highlight w:val="none"/>
          <w:lang w:val="en-US" w:eastAsia="zh-CN" w:bidi="ar-SA"/>
        </w:rPr>
        <w:t>世界银行贷款资金</w:t>
      </w:r>
      <w:r>
        <w:rPr>
          <w:rFonts w:hint="default" w:ascii="Times New Roman" w:hAnsi="Times New Roman" w:eastAsia="仿宋_GB2312" w:cs="Times New Roman"/>
          <w:color w:val="auto"/>
          <w:kern w:val="2"/>
          <w:sz w:val="28"/>
          <w:szCs w:val="28"/>
          <w:highlight w:val="none"/>
          <w:lang w:val="en-US" w:eastAsia="zh-CN" w:bidi="ar-SA"/>
        </w:rPr>
        <w:t>64,229,960.70</w:t>
      </w:r>
      <w:r>
        <w:rPr>
          <w:rFonts w:ascii="Times New Roman" w:hAnsi="Times New Roman" w:eastAsia="仿宋_GB2312" w:cs="Times New Roman"/>
          <w:color w:val="auto"/>
          <w:kern w:val="2"/>
          <w:sz w:val="28"/>
          <w:szCs w:val="28"/>
          <w:highlight w:val="none"/>
          <w:lang w:val="en-US" w:eastAsia="zh-CN" w:bidi="ar-SA"/>
        </w:rPr>
        <w:t>美元</w:t>
      </w:r>
      <w:r>
        <w:rPr>
          <w:rFonts w:hint="default" w:ascii="Times New Roman" w:hAnsi="Times New Roman" w:eastAsia="仿宋_GB2312" w:cs="Times New Roman"/>
          <w:color w:val="auto"/>
          <w:kern w:val="2"/>
          <w:sz w:val="28"/>
          <w:szCs w:val="28"/>
          <w:highlight w:val="none"/>
          <w:lang w:val="en-US" w:eastAsia="zh-CN" w:bidi="ar-SA"/>
        </w:rPr>
        <w:t>，</w:t>
      </w:r>
      <w:r>
        <w:rPr>
          <w:rFonts w:ascii="Times New Roman" w:hAnsi="Times New Roman" w:eastAsia="仿宋_GB2312" w:cs="Times New Roman"/>
          <w:color w:val="auto"/>
          <w:kern w:val="2"/>
          <w:sz w:val="28"/>
          <w:szCs w:val="28"/>
          <w:highlight w:val="none"/>
          <w:lang w:val="en-US" w:eastAsia="zh-CN" w:bidi="ar-SA"/>
        </w:rPr>
        <w:t>占贷款总额的</w:t>
      </w:r>
      <w:r>
        <w:rPr>
          <w:rFonts w:hint="default" w:ascii="Times New Roman" w:hAnsi="Times New Roman" w:eastAsia="仿宋_GB2312" w:cs="Times New Roman"/>
          <w:color w:val="auto"/>
          <w:kern w:val="2"/>
          <w:sz w:val="28"/>
          <w:szCs w:val="28"/>
          <w:highlight w:val="none"/>
          <w:lang w:val="en-US" w:eastAsia="zh-CN" w:bidi="ar-SA"/>
        </w:rPr>
        <w:t>23.79</w:t>
      </w:r>
      <w:r>
        <w:rPr>
          <w:rFonts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。其中：类别(1)基础设施项目货物、工程、咨询、培训及研讨会等累计提款53,554,960.70美元，占该类计划的19.88%；项目先征费675,000.00美元，占该类计划的100%；项目指定账户周转金10,000,000.00美元。</w:t>
      </w:r>
    </w:p>
    <w:p>
      <w:pPr>
        <w:pStyle w:val="7"/>
        <w:rPr>
          <w:rFonts w:hint="default" w:ascii="Times New Roman" w:hAnsi="Times New Roman" w:eastAsia="仿宋_GB2312" w:cs="Times New Roman"/>
          <w:color w:val="auto"/>
          <w:kern w:val="2"/>
          <w:sz w:val="28"/>
          <w:szCs w:val="28"/>
          <w:highlight w:val="none"/>
          <w:lang w:val="en-US" w:eastAsia="zh-CN" w:bidi="ar-SA"/>
        </w:rPr>
      </w:pPr>
    </w:p>
    <w:p>
      <w:pPr>
        <w:pStyle w:val="7"/>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w:t>
      </w:r>
      <w:r>
        <w:rPr>
          <w:rFonts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6 应付款</w:t>
      </w:r>
    </w:p>
    <w:p>
      <w:pPr>
        <w:pStyle w:val="7"/>
        <w:rPr>
          <w:rFonts w:hint="default" w:ascii="Times New Roman" w:hAnsi="Times New Roman" w:eastAsia="仿宋_GB2312" w:cs="Times New Roman"/>
          <w:color w:val="auto"/>
          <w:kern w:val="2"/>
          <w:sz w:val="28"/>
          <w:szCs w:val="28"/>
          <w:highlight w:val="none"/>
          <w:lang w:val="en-US" w:eastAsia="zh-CN" w:bidi="ar-SA"/>
        </w:rPr>
      </w:pPr>
      <w:r>
        <w:rPr>
          <w:rFonts w:ascii="Times New Roman" w:hAnsi="Times New Roman" w:eastAsia="仿宋_GB2312" w:cs="Times New Roman"/>
          <w:color w:val="auto"/>
          <w:kern w:val="2"/>
          <w:sz w:val="28"/>
          <w:szCs w:val="28"/>
          <w:highlight w:val="none"/>
          <w:lang w:val="en-US" w:eastAsia="zh-CN" w:bidi="ar-SA"/>
        </w:rPr>
        <w:t>20</w:t>
      </w:r>
      <w:r>
        <w:rPr>
          <w:rFonts w:hint="default" w:ascii="Times New Roman" w:hAnsi="Times New Roman" w:eastAsia="仿宋_GB2312" w:cs="Times New Roman"/>
          <w:color w:val="auto"/>
          <w:kern w:val="2"/>
          <w:sz w:val="28"/>
          <w:szCs w:val="28"/>
          <w:highlight w:val="none"/>
          <w:lang w:val="en-US" w:eastAsia="zh-CN" w:bidi="ar-SA"/>
        </w:rPr>
        <w:t>19</w:t>
      </w:r>
      <w:r>
        <w:rPr>
          <w:rFonts w:ascii="Times New Roman" w:hAnsi="Times New Roman" w:eastAsia="仿宋_GB2312" w:cs="Times New Roman"/>
          <w:color w:val="auto"/>
          <w:kern w:val="2"/>
          <w:sz w:val="28"/>
          <w:szCs w:val="28"/>
          <w:highlight w:val="none"/>
          <w:lang w:val="en-US" w:eastAsia="zh-CN" w:bidi="ar-SA"/>
        </w:rPr>
        <w:t>年</w:t>
      </w:r>
      <w:r>
        <w:rPr>
          <w:rFonts w:hint="default" w:ascii="Times New Roman" w:hAnsi="Times New Roman" w:eastAsia="仿宋_GB2312" w:cs="Times New Roman"/>
          <w:color w:val="auto"/>
          <w:kern w:val="2"/>
          <w:sz w:val="28"/>
          <w:szCs w:val="28"/>
          <w:highlight w:val="none"/>
          <w:lang w:val="en-US" w:eastAsia="zh-CN" w:bidi="ar-SA"/>
        </w:rPr>
        <w:t>12</w:t>
      </w:r>
      <w:r>
        <w:rPr>
          <w:rFonts w:ascii="Times New Roman" w:hAnsi="Times New Roman" w:eastAsia="仿宋_GB2312" w:cs="Times New Roman"/>
          <w:color w:val="auto"/>
          <w:kern w:val="2"/>
          <w:sz w:val="28"/>
          <w:szCs w:val="28"/>
          <w:highlight w:val="none"/>
          <w:lang w:val="en-US" w:eastAsia="zh-CN" w:bidi="ar-SA"/>
        </w:rPr>
        <w:t>月3</w:t>
      </w:r>
      <w:r>
        <w:rPr>
          <w:rFonts w:hint="default" w:ascii="Times New Roman" w:hAnsi="Times New Roman" w:eastAsia="仿宋_GB2312" w:cs="Times New Roman"/>
          <w:color w:val="auto"/>
          <w:kern w:val="2"/>
          <w:sz w:val="28"/>
          <w:szCs w:val="28"/>
          <w:highlight w:val="none"/>
          <w:lang w:val="en-US" w:eastAsia="zh-CN" w:bidi="ar-SA"/>
        </w:rPr>
        <w:t>1</w:t>
      </w:r>
      <w:r>
        <w:rPr>
          <w:rFonts w:ascii="Times New Roman" w:hAnsi="Times New Roman" w:eastAsia="仿宋_GB2312" w:cs="Times New Roman"/>
          <w:color w:val="auto"/>
          <w:kern w:val="2"/>
          <w:sz w:val="28"/>
          <w:szCs w:val="28"/>
          <w:highlight w:val="none"/>
          <w:lang w:val="en-US" w:eastAsia="zh-CN" w:bidi="ar-SA"/>
        </w:rPr>
        <w:t>日</w:t>
      </w:r>
      <w:r>
        <w:rPr>
          <w:rFonts w:hint="default" w:ascii="Times New Roman" w:hAnsi="Times New Roman" w:eastAsia="仿宋_GB2312" w:cs="Times New Roman"/>
          <w:color w:val="auto"/>
          <w:kern w:val="2"/>
          <w:sz w:val="28"/>
          <w:szCs w:val="28"/>
          <w:highlight w:val="none"/>
          <w:lang w:val="en-US" w:eastAsia="zh-CN" w:bidi="ar-SA"/>
        </w:rPr>
        <w:t>应付款</w:t>
      </w:r>
      <w:r>
        <w:rPr>
          <w:rFonts w:ascii="Times New Roman" w:hAnsi="Times New Roman" w:eastAsia="仿宋_GB2312" w:cs="Times New Roman"/>
          <w:color w:val="auto"/>
          <w:kern w:val="2"/>
          <w:sz w:val="28"/>
          <w:szCs w:val="28"/>
          <w:highlight w:val="none"/>
          <w:lang w:val="en-US" w:eastAsia="zh-CN" w:bidi="ar-SA"/>
        </w:rPr>
        <w:t>余额为人民币</w:t>
      </w:r>
      <w:r>
        <w:rPr>
          <w:rFonts w:hint="default" w:ascii="Times New Roman" w:hAnsi="Times New Roman" w:eastAsia="仿宋_GB2312" w:cs="Times New Roman"/>
          <w:color w:val="auto"/>
          <w:kern w:val="2"/>
          <w:sz w:val="28"/>
          <w:szCs w:val="28"/>
          <w:highlight w:val="none"/>
          <w:lang w:val="en-US" w:eastAsia="zh-CN" w:bidi="ar-SA"/>
        </w:rPr>
        <w:t>67,619,886.77</w:t>
      </w:r>
      <w:r>
        <w:rPr>
          <w:rFonts w:ascii="Times New Roman" w:hAnsi="Times New Roman" w:eastAsia="仿宋_GB2312" w:cs="Times New Roman"/>
          <w:color w:val="auto"/>
          <w:kern w:val="2"/>
          <w:sz w:val="28"/>
          <w:szCs w:val="28"/>
          <w:highlight w:val="none"/>
          <w:lang w:val="en-US" w:eastAsia="zh-CN" w:bidi="ar-SA"/>
        </w:rPr>
        <w:t>元，</w:t>
      </w:r>
      <w:r>
        <w:rPr>
          <w:rFonts w:hint="default" w:ascii="Times New Roman" w:hAnsi="Times New Roman" w:eastAsia="仿宋_GB2312" w:cs="Times New Roman"/>
          <w:color w:val="auto"/>
          <w:kern w:val="2"/>
          <w:sz w:val="28"/>
          <w:szCs w:val="28"/>
          <w:highlight w:val="none"/>
          <w:lang w:val="en-US" w:eastAsia="zh-CN" w:bidi="ar-SA"/>
        </w:rPr>
        <w:t>主要为各子项目应付的工程款、保留金及差旅费等。</w:t>
      </w:r>
    </w:p>
    <w:p>
      <w:pPr>
        <w:pStyle w:val="7"/>
        <w:rPr>
          <w:rFonts w:ascii="Times New Roman" w:hAnsi="Times New Roman" w:eastAsia="仿宋_GB2312" w:cs="Times New Roman"/>
          <w:color w:val="auto"/>
          <w:kern w:val="2"/>
          <w:sz w:val="28"/>
          <w:szCs w:val="28"/>
          <w:highlight w:val="none"/>
          <w:lang w:val="en-US" w:eastAsia="zh-CN" w:bidi="ar-SA"/>
        </w:rPr>
      </w:pPr>
    </w:p>
    <w:p>
      <w:pPr>
        <w:pStyle w:val="7"/>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w:t>
      </w:r>
      <w:r>
        <w:rPr>
          <w:rFonts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7 留成收入</w:t>
      </w:r>
    </w:p>
    <w:p>
      <w:pPr>
        <w:pStyle w:val="7"/>
        <w:rPr>
          <w:rFonts w:hint="default" w:ascii="Times New Roman" w:hAnsi="Times New Roman" w:eastAsia="仿宋_GB2312" w:cs="Times New Roman"/>
          <w:color w:val="auto"/>
          <w:kern w:val="2"/>
          <w:sz w:val="28"/>
          <w:szCs w:val="28"/>
          <w:highlight w:val="none"/>
          <w:lang w:val="en-US" w:eastAsia="zh-CN" w:bidi="ar-SA"/>
        </w:rPr>
      </w:pPr>
      <w:r>
        <w:rPr>
          <w:rFonts w:ascii="Times New Roman" w:hAnsi="Times New Roman" w:eastAsia="仿宋_GB2312" w:cs="Times New Roman"/>
          <w:color w:val="auto"/>
          <w:kern w:val="2"/>
          <w:sz w:val="28"/>
          <w:szCs w:val="28"/>
          <w:highlight w:val="none"/>
          <w:lang w:val="en-US" w:eastAsia="zh-CN" w:bidi="ar-SA"/>
        </w:rPr>
        <w:t>20</w:t>
      </w:r>
      <w:r>
        <w:rPr>
          <w:rFonts w:hint="default" w:ascii="Times New Roman" w:hAnsi="Times New Roman" w:eastAsia="仿宋_GB2312" w:cs="Times New Roman"/>
          <w:color w:val="auto"/>
          <w:kern w:val="2"/>
          <w:sz w:val="28"/>
          <w:szCs w:val="28"/>
          <w:highlight w:val="none"/>
          <w:lang w:val="en-US" w:eastAsia="zh-CN" w:bidi="ar-SA"/>
        </w:rPr>
        <w:t>19</w:t>
      </w:r>
      <w:r>
        <w:rPr>
          <w:rFonts w:ascii="Times New Roman" w:hAnsi="Times New Roman" w:eastAsia="仿宋_GB2312" w:cs="Times New Roman"/>
          <w:color w:val="auto"/>
          <w:kern w:val="2"/>
          <w:sz w:val="28"/>
          <w:szCs w:val="28"/>
          <w:highlight w:val="none"/>
          <w:lang w:val="en-US" w:eastAsia="zh-CN" w:bidi="ar-SA"/>
        </w:rPr>
        <w:t>年</w:t>
      </w:r>
      <w:r>
        <w:rPr>
          <w:rFonts w:hint="default" w:ascii="Times New Roman" w:hAnsi="Times New Roman" w:eastAsia="仿宋_GB2312" w:cs="Times New Roman"/>
          <w:color w:val="auto"/>
          <w:kern w:val="2"/>
          <w:sz w:val="28"/>
          <w:szCs w:val="28"/>
          <w:highlight w:val="none"/>
          <w:lang w:val="en-US" w:eastAsia="zh-CN" w:bidi="ar-SA"/>
        </w:rPr>
        <w:t>12</w:t>
      </w:r>
      <w:r>
        <w:rPr>
          <w:rFonts w:ascii="Times New Roman" w:hAnsi="Times New Roman" w:eastAsia="仿宋_GB2312" w:cs="Times New Roman"/>
          <w:color w:val="auto"/>
          <w:kern w:val="2"/>
          <w:sz w:val="28"/>
          <w:szCs w:val="28"/>
          <w:highlight w:val="none"/>
          <w:lang w:val="en-US" w:eastAsia="zh-CN" w:bidi="ar-SA"/>
        </w:rPr>
        <w:t>月3</w:t>
      </w:r>
      <w:r>
        <w:rPr>
          <w:rFonts w:hint="default" w:ascii="Times New Roman" w:hAnsi="Times New Roman" w:eastAsia="仿宋_GB2312" w:cs="Times New Roman"/>
          <w:color w:val="auto"/>
          <w:kern w:val="2"/>
          <w:sz w:val="28"/>
          <w:szCs w:val="28"/>
          <w:highlight w:val="none"/>
          <w:lang w:val="en-US" w:eastAsia="zh-CN" w:bidi="ar-SA"/>
        </w:rPr>
        <w:t>1</w:t>
      </w:r>
      <w:r>
        <w:rPr>
          <w:rFonts w:ascii="Times New Roman" w:hAnsi="Times New Roman" w:eastAsia="仿宋_GB2312" w:cs="Times New Roman"/>
          <w:color w:val="auto"/>
          <w:kern w:val="2"/>
          <w:sz w:val="28"/>
          <w:szCs w:val="28"/>
          <w:highlight w:val="none"/>
          <w:lang w:val="en-US" w:eastAsia="zh-CN" w:bidi="ar-SA"/>
        </w:rPr>
        <w:t>日余额为人民币</w:t>
      </w:r>
      <w:r>
        <w:rPr>
          <w:rFonts w:hint="default" w:ascii="Times New Roman" w:hAnsi="Times New Roman" w:eastAsia="仿宋_GB2312" w:cs="Times New Roman"/>
          <w:color w:val="auto"/>
          <w:kern w:val="2"/>
          <w:sz w:val="28"/>
          <w:szCs w:val="28"/>
          <w:highlight w:val="none"/>
          <w:lang w:val="en-US" w:eastAsia="zh-CN" w:bidi="ar-SA"/>
        </w:rPr>
        <w:t>32</w:t>
      </w:r>
      <w:r>
        <w:rPr>
          <w:rFonts w:hint="eastAsia"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113.40</w:t>
      </w:r>
      <w:r>
        <w:rPr>
          <w:rFonts w:ascii="Times New Roman" w:hAnsi="Times New Roman" w:eastAsia="仿宋_GB2312" w:cs="Times New Roman"/>
          <w:color w:val="auto"/>
          <w:kern w:val="2"/>
          <w:sz w:val="28"/>
          <w:szCs w:val="28"/>
          <w:highlight w:val="none"/>
          <w:lang w:val="en-US" w:eastAsia="zh-CN" w:bidi="ar-SA"/>
        </w:rPr>
        <w:t>元，</w:t>
      </w:r>
      <w:r>
        <w:rPr>
          <w:rFonts w:hint="default" w:ascii="Times New Roman" w:hAnsi="Times New Roman" w:eastAsia="仿宋_GB2312" w:cs="Times New Roman"/>
          <w:color w:val="auto"/>
          <w:kern w:val="2"/>
          <w:sz w:val="28"/>
          <w:szCs w:val="28"/>
          <w:highlight w:val="none"/>
          <w:lang w:val="en-US" w:eastAsia="zh-CN" w:bidi="ar-SA"/>
        </w:rPr>
        <w:t>为省财政厅项目指定账户利息收入。</w:t>
      </w:r>
    </w:p>
    <w:p>
      <w:pPr>
        <w:pStyle w:val="24"/>
        <w:keepLines w:val="0"/>
        <w:pageBreakBefore w:val="0"/>
        <w:tabs>
          <w:tab w:val="left" w:pos="360"/>
        </w:tabs>
        <w:kinsoku/>
        <w:wordWrap/>
        <w:overflowPunct/>
        <w:topLinePunct w:val="0"/>
        <w:bidi w:val="0"/>
        <w:snapToGrid w:val="0"/>
        <w:spacing w:line="400" w:lineRule="exact"/>
        <w:ind w:right="0" w:rightChars="0" w:firstLine="0" w:firstLineChars="0"/>
        <w:textAlignment w:val="auto"/>
        <w:rPr>
          <w:rFonts w:hint="default" w:ascii="Times New Roman" w:hAnsi="Times New Roman" w:eastAsia="仿宋_GB2312" w:cs="Times New Roman"/>
          <w:color w:val="auto"/>
          <w:kern w:val="2"/>
          <w:sz w:val="28"/>
          <w:szCs w:val="28"/>
          <w:highlight w:val="none"/>
          <w:lang w:val="en-US" w:eastAsia="zh-CN" w:bidi="ar-SA"/>
        </w:rPr>
      </w:pPr>
    </w:p>
    <w:p>
      <w:pPr>
        <w:pStyle w:val="24"/>
        <w:keepLines w:val="0"/>
        <w:pageBreakBefore w:val="0"/>
        <w:tabs>
          <w:tab w:val="left" w:pos="360"/>
        </w:tabs>
        <w:kinsoku/>
        <w:wordWrap/>
        <w:overflowPunct/>
        <w:topLinePunct w:val="0"/>
        <w:bidi w:val="0"/>
        <w:snapToGrid w:val="0"/>
        <w:spacing w:line="400" w:lineRule="exact"/>
        <w:ind w:right="0" w:rightChars="0" w:firstLine="540" w:firstLineChars="192"/>
        <w:textAlignment w:val="auto"/>
        <w:rPr>
          <w:rFonts w:hint="default" w:ascii="Times New Roman" w:hAnsi="Times New Roman" w:eastAsia="仿宋_GB2312" w:cs="Times New Roman"/>
          <w:b/>
          <w:color w:val="auto"/>
          <w:kern w:val="2"/>
          <w:sz w:val="28"/>
          <w:szCs w:val="28"/>
          <w:highlight w:val="none"/>
          <w:lang w:val="en-US" w:eastAsia="zh-CN" w:bidi="ar-SA"/>
        </w:rPr>
      </w:pPr>
      <w:r>
        <w:rPr>
          <w:rFonts w:hint="default" w:ascii="Times New Roman" w:hAnsi="Times New Roman" w:eastAsia="仿宋_GB2312" w:cs="Times New Roman"/>
          <w:b/>
          <w:color w:val="auto"/>
          <w:kern w:val="2"/>
          <w:sz w:val="28"/>
          <w:szCs w:val="28"/>
          <w:highlight w:val="none"/>
          <w:lang w:val="en-US" w:eastAsia="zh-CN" w:bidi="ar-SA"/>
        </w:rPr>
        <w:t>5.指定账户使用情况</w:t>
      </w:r>
    </w:p>
    <w:p>
      <w:pPr>
        <w:pStyle w:val="7"/>
        <w:tabs>
          <w:tab w:val="left" w:pos="360"/>
        </w:tabs>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本项目指定账户设在中国农业银行股份有限公司四川省分行，账号为 22920114040000925，币种为美元。指定账户首次存款10,000,000.00美元。2019年指定账户期初余额为4,577,223.77美元，本期世行贷款回补总额为57,214,875.45美元，利息收入3,017.71美元，本期支付57</w:t>
      </w:r>
      <w:r>
        <w:rPr>
          <w:rFonts w:hint="eastAsia"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123</w:t>
      </w:r>
      <w:r>
        <w:rPr>
          <w:rFonts w:hint="eastAsia"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447.6美元，服务费支出</w:t>
      </w:r>
      <w:r>
        <w:rPr>
          <w:rFonts w:hint="eastAsia" w:ascii="Times New Roman" w:hAnsi="Times New Roman" w:eastAsia="仿宋_GB2312" w:cs="Times New Roman"/>
          <w:color w:val="auto"/>
          <w:kern w:val="2"/>
          <w:sz w:val="28"/>
          <w:szCs w:val="28"/>
          <w:highlight w:val="none"/>
          <w:lang w:val="en-US" w:eastAsia="zh-CN" w:bidi="ar-SA"/>
        </w:rPr>
        <w:t>135</w:t>
      </w:r>
      <w:r>
        <w:rPr>
          <w:rFonts w:hint="default" w:ascii="Times New Roman" w:hAnsi="Times New Roman" w:eastAsia="仿宋_GB2312" w:cs="Times New Roman"/>
          <w:color w:val="auto"/>
          <w:kern w:val="2"/>
          <w:sz w:val="28"/>
          <w:szCs w:val="28"/>
          <w:highlight w:val="none"/>
          <w:lang w:val="en-US" w:eastAsia="zh-CN" w:bidi="ar-SA"/>
        </w:rPr>
        <w:t>.00美元</w:t>
      </w:r>
      <w:r>
        <w:rPr>
          <w:rFonts w:hint="eastAsia"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期末余额4,671,534.33美元。</w:t>
      </w:r>
    </w:p>
    <w:p>
      <w:pPr>
        <w:pStyle w:val="7"/>
        <w:rPr>
          <w:rFonts w:hint="default" w:ascii="Times New Roman" w:hAnsi="Times New Roman" w:eastAsia="仿宋_GB2312" w:cs="Times New Roman"/>
          <w:color w:val="auto"/>
          <w:kern w:val="2"/>
          <w:sz w:val="28"/>
          <w:szCs w:val="28"/>
          <w:highlight w:val="none"/>
          <w:lang w:val="en-US" w:eastAsia="zh-CN" w:bidi="ar-SA"/>
        </w:rPr>
      </w:pPr>
    </w:p>
    <w:p>
      <w:pPr>
        <w:pStyle w:val="24"/>
        <w:keepNext w:val="0"/>
        <w:keepLines w:val="0"/>
        <w:pageBreakBefore w:val="0"/>
        <w:widowControl w:val="0"/>
        <w:numPr>
          <w:ilvl w:val="0"/>
          <w:numId w:val="2"/>
        </w:numPr>
        <w:kinsoku/>
        <w:wordWrap/>
        <w:overflowPunct/>
        <w:topLinePunct w:val="0"/>
        <w:bidi w:val="0"/>
        <w:adjustRightInd w:val="0"/>
        <w:snapToGrid w:val="0"/>
        <w:spacing w:line="400" w:lineRule="exact"/>
        <w:ind w:left="0" w:leftChars="0" w:right="0" w:rightChars="0" w:firstLine="562" w:firstLineChars="200"/>
        <w:textAlignment w:val="auto"/>
        <w:rPr>
          <w:rFonts w:hint="default" w:ascii="Times New Roman" w:hAnsi="Times New Roman" w:eastAsia="仿宋_GB2312" w:cs="Times New Roman"/>
          <w:b/>
          <w:color w:val="auto"/>
          <w:kern w:val="2"/>
          <w:sz w:val="28"/>
          <w:szCs w:val="28"/>
          <w:highlight w:val="none"/>
          <w:lang w:val="en-US" w:eastAsia="zh-CN" w:bidi="ar-SA"/>
        </w:rPr>
      </w:pPr>
      <w:r>
        <w:rPr>
          <w:rFonts w:hint="default" w:ascii="Times New Roman" w:hAnsi="Times New Roman" w:eastAsia="仿宋_GB2312" w:cs="Times New Roman"/>
          <w:b/>
          <w:color w:val="auto"/>
          <w:kern w:val="2"/>
          <w:sz w:val="28"/>
          <w:szCs w:val="28"/>
          <w:highlight w:val="none"/>
          <w:lang w:val="en-US" w:eastAsia="zh-CN" w:bidi="ar-SA"/>
        </w:rPr>
        <w:t>其他需要说明的事项</w:t>
      </w:r>
    </w:p>
    <w:p>
      <w:pPr>
        <w:pStyle w:val="24"/>
        <w:keepNext w:val="0"/>
        <w:keepLines w:val="0"/>
        <w:pageBreakBefore w:val="0"/>
        <w:widowControl w:val="0"/>
        <w:numPr>
          <w:ilvl w:val="0"/>
          <w:numId w:val="0"/>
        </w:numPr>
        <w:kinsoku/>
        <w:wordWrap/>
        <w:overflowPunct/>
        <w:topLinePunct w:val="0"/>
        <w:bidi w:val="0"/>
        <w:adjustRightInd w:val="0"/>
        <w:snapToGrid w:val="0"/>
        <w:spacing w:line="400" w:lineRule="exact"/>
        <w:ind w:right="0" w:rightChars="0"/>
        <w:textAlignment w:val="auto"/>
        <w:rPr>
          <w:rFonts w:hint="eastAsia" w:ascii="Times New Roman" w:hAnsi="Times New Roman" w:eastAsia="仿宋_GB2312" w:cs="Times New Roman"/>
          <w:color w:val="auto"/>
          <w:kern w:val="2"/>
          <w:sz w:val="28"/>
          <w:szCs w:val="28"/>
          <w:highlight w:val="none"/>
          <w:lang w:val="en-US" w:eastAsia="zh-CN" w:bidi="ar-SA"/>
        </w:rPr>
      </w:pPr>
      <w:r>
        <w:rPr>
          <w:rFonts w:hint="eastAsia" w:ascii="Times New Roman" w:hAnsi="Times New Roman" w:eastAsia="仿宋_GB2312" w:cs="Times New Roman"/>
          <w:color w:val="auto"/>
          <w:kern w:val="2"/>
          <w:sz w:val="28"/>
          <w:szCs w:val="28"/>
          <w:highlight w:val="none"/>
          <w:lang w:val="en-US" w:eastAsia="zh-CN" w:bidi="ar-SA"/>
        </w:rPr>
        <w:t xml:space="preserve">    </w:t>
      </w:r>
      <w:r>
        <w:rPr>
          <w:rFonts w:hint="default" w:ascii="Times New Roman" w:hAnsi="Times New Roman" w:eastAsia="仿宋_GB2312" w:cs="Times New Roman"/>
          <w:color w:val="auto"/>
          <w:kern w:val="2"/>
          <w:sz w:val="28"/>
          <w:szCs w:val="28"/>
          <w:highlight w:val="none"/>
          <w:lang w:val="en-US" w:eastAsia="zh-CN" w:bidi="ar-SA"/>
        </w:rPr>
        <w:t>项目资金平衡表中国际复兴开发银行贷款期末数、期初数之差，项目进度表中本期发生额与贷款协定执行情况表人民币本期提款数不一致是由于历年汇兑损益造成的</w:t>
      </w:r>
      <w:r>
        <w:rPr>
          <w:rFonts w:hint="eastAsia" w:ascii="Times New Roman" w:hAnsi="Times New Roman" w:eastAsia="仿宋_GB2312" w:cs="Times New Roman"/>
          <w:color w:val="auto"/>
          <w:kern w:val="2"/>
          <w:sz w:val="28"/>
          <w:szCs w:val="28"/>
          <w:highlight w:val="none"/>
          <w:lang w:val="en-US" w:eastAsia="zh-CN" w:bidi="ar-SA"/>
        </w:rPr>
        <w:t>。</w:t>
      </w:r>
    </w:p>
    <w:p>
      <w:pPr>
        <w:spacing w:line="400" w:lineRule="exact"/>
        <w:rPr>
          <w:rFonts w:hint="eastAsia" w:ascii="Times New Roman" w:hAnsi="Times New Roman" w:eastAsia="仿宋_GB2312" w:cs="Times New Roman"/>
          <w:kern w:val="2"/>
          <w:sz w:val="28"/>
          <w:szCs w:val="28"/>
          <w:highlight w:val="none"/>
          <w:lang w:val="en-US" w:eastAsia="zh-CN" w:bidi="ar-SA"/>
        </w:rPr>
      </w:pPr>
    </w:p>
    <w:p>
      <w:pPr>
        <w:spacing w:line="400" w:lineRule="exact"/>
        <w:rPr>
          <w:rFonts w:hint="eastAsia" w:ascii="Times New Roman" w:hAnsi="Times New Roman" w:eastAsia="仿宋_GB2312" w:cs="Times New Roman"/>
          <w:kern w:val="2"/>
          <w:sz w:val="28"/>
          <w:szCs w:val="28"/>
          <w:highlight w:val="none"/>
          <w:lang w:val="en-US" w:eastAsia="zh-CN" w:bidi="ar-SA"/>
        </w:rPr>
      </w:pPr>
    </w:p>
    <w:p>
      <w:pPr>
        <w:spacing w:line="400" w:lineRule="exact"/>
        <w:rPr>
          <w:rFonts w:hint="eastAsia" w:ascii="Times New Roman" w:hAnsi="Times New Roman" w:eastAsia="仿宋_GB2312" w:cs="Times New Roman"/>
          <w:kern w:val="2"/>
          <w:sz w:val="28"/>
          <w:szCs w:val="28"/>
          <w:highlight w:val="none"/>
          <w:lang w:val="en-US" w:eastAsia="zh-CN" w:bidi="ar-SA"/>
        </w:rPr>
      </w:pPr>
    </w:p>
    <w:p>
      <w:pPr>
        <w:spacing w:line="400" w:lineRule="exact"/>
        <w:rPr>
          <w:rFonts w:hint="eastAsia" w:ascii="Times New Roman" w:hAnsi="Times New Roman" w:eastAsia="仿宋_GB2312" w:cs="Times New Roman"/>
          <w:kern w:val="2"/>
          <w:sz w:val="28"/>
          <w:szCs w:val="28"/>
          <w:highlight w:val="none"/>
          <w:lang w:val="en-US" w:eastAsia="zh-CN" w:bidi="ar-SA"/>
        </w:rPr>
      </w:pPr>
    </w:p>
    <w:p>
      <w:pPr>
        <w:pStyle w:val="7"/>
        <w:keepNext w:val="0"/>
        <w:keepLines w:val="0"/>
        <w:pageBreakBefore w:val="0"/>
        <w:widowControl w:val="0"/>
        <w:kinsoku/>
        <w:wordWrap/>
        <w:overflowPunct/>
        <w:topLinePunct w:val="0"/>
        <w:autoSpaceDE/>
        <w:autoSpaceDN/>
        <w:bidi w:val="0"/>
        <w:adjustRightInd w:val="0"/>
        <w:snapToGrid w:val="0"/>
        <w:spacing w:before="156" w:beforeLines="50" w:after="0" w:afterLines="0" w:line="320" w:lineRule="exact"/>
        <w:ind w:left="0" w:leftChars="0" w:right="0" w:rightChars="0" w:firstLine="0" w:firstLineChars="0"/>
        <w:jc w:val="both"/>
        <w:textAlignment w:val="auto"/>
        <w:outlineLvl w:val="9"/>
        <w:rPr>
          <w:rFonts w:ascii="仿宋_GB2312" w:eastAsia="仿宋_GB2312"/>
          <w:b/>
          <w:bCs/>
          <w:color w:val="auto"/>
          <w:kern w:val="0"/>
          <w:sz w:val="28"/>
          <w:szCs w:val="28"/>
          <w:highlight w:val="none"/>
          <w:lang w:val="en-US" w:eastAsia="zh-CN" w:bidi="ar-SA"/>
        </w:rPr>
      </w:pPr>
      <w:r>
        <w:rPr>
          <w:rFonts w:hint="eastAsia" w:ascii="Times New Roman" w:eastAsia="仿宋_GB2312"/>
          <w:b/>
          <w:bCs/>
          <w:snapToGrid w:val="0"/>
          <w:kern w:val="0"/>
          <w:sz w:val="28"/>
          <w:szCs w:val="28"/>
          <w:highlight w:val="none"/>
          <w:lang w:val="en-US" w:eastAsia="zh-CN" w:bidi="ar-SA"/>
        </w:rPr>
        <w:t>三、</w:t>
      </w:r>
      <w:r>
        <w:rPr>
          <w:rFonts w:ascii="Times New Roman" w:eastAsia="仿宋_GB2312"/>
          <w:b/>
          <w:bCs/>
          <w:snapToGrid w:val="0"/>
          <w:kern w:val="0"/>
          <w:sz w:val="28"/>
          <w:szCs w:val="28"/>
          <w:highlight w:val="none"/>
          <w:lang w:val="en-US" w:eastAsia="zh-CN" w:bidi="ar-SA"/>
        </w:rPr>
        <w:t>审计发现的问题及建议</w:t>
      </w:r>
    </w:p>
    <w:p>
      <w:pPr>
        <w:pStyle w:val="31"/>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jc w:val="center"/>
        <w:textAlignment w:val="auto"/>
        <w:rPr>
          <w:rFonts w:ascii="Times New Roman" w:hAnsi="Times New Roman" w:eastAsia="仿宋_GB2312" w:cs="Times New Roman"/>
          <w:b/>
          <w:snapToGrid w:val="0"/>
          <w:color w:val="auto"/>
          <w:kern w:val="0"/>
          <w:position w:val="6"/>
          <w:sz w:val="28"/>
          <w:szCs w:val="28"/>
          <w:highlight w:val="none"/>
          <w:lang w:val="en-US" w:eastAsia="zh-CN" w:bidi="ar-SA"/>
        </w:rPr>
      </w:pPr>
    </w:p>
    <w:p>
      <w:pPr>
        <w:pStyle w:val="25"/>
        <w:keepNext w:val="0"/>
        <w:keepLines w:val="0"/>
        <w:pageBreakBefore w:val="0"/>
        <w:widowControl w:val="0"/>
        <w:kinsoku/>
        <w:wordWrap/>
        <w:overflowPunct/>
        <w:topLinePunct w:val="0"/>
        <w:bidi w:val="0"/>
        <w:snapToGrid w:val="0"/>
        <w:spacing w:line="400" w:lineRule="exact"/>
        <w:ind w:left="0" w:leftChars="0" w:right="0" w:rightChars="0"/>
        <w:textAlignment w:val="auto"/>
        <w:rPr>
          <w:rFonts w:eastAsia="仿宋_GB2312"/>
          <w:b/>
          <w:snapToGrid w:val="0"/>
          <w:color w:val="auto"/>
          <w:kern w:val="0"/>
          <w:sz w:val="32"/>
          <w:szCs w:val="32"/>
          <w:highlight w:val="none"/>
          <w:lang w:val="en-GB" w:eastAsia="zh-CN" w:bidi="ar-SA"/>
        </w:rPr>
      </w:pPr>
      <w:r>
        <w:rPr>
          <w:rFonts w:eastAsia="仿宋_GB2312"/>
          <w:b/>
          <w:bCs/>
          <w:snapToGrid w:val="0"/>
          <w:color w:val="auto"/>
          <w:kern w:val="0"/>
          <w:sz w:val="32"/>
          <w:szCs w:val="32"/>
          <w:highlight w:val="none"/>
          <w:lang w:val="en-GB" w:eastAsia="zh-CN" w:bidi="ar-SA"/>
        </w:rPr>
        <w:t>审计发现的问题及建议</w:t>
      </w:r>
    </w:p>
    <w:p>
      <w:pPr>
        <w:pStyle w:val="31"/>
        <w:keepNext w:val="0"/>
        <w:keepLines w:val="0"/>
        <w:pageBreakBefore w:val="0"/>
        <w:widowControl w:val="0"/>
        <w:kinsoku/>
        <w:wordWrap/>
        <w:overflowPunct/>
        <w:topLinePunct w:val="0"/>
        <w:bidi w:val="0"/>
        <w:snapToGrid w:val="0"/>
        <w:spacing w:line="400" w:lineRule="exact"/>
        <w:ind w:left="0" w:leftChars="0" w:right="0" w:rightChars="0"/>
        <w:textAlignment w:val="auto"/>
        <w:rPr>
          <w:rFonts w:ascii="Times New Roman" w:hAnsi="Times New Roman" w:eastAsia="仿宋_GB2312" w:cs="Times New Roman"/>
          <w:snapToGrid w:val="0"/>
          <w:color w:val="auto"/>
          <w:kern w:val="0"/>
          <w:position w:val="6"/>
          <w:sz w:val="32"/>
          <w:highlight w:val="none"/>
          <w:lang w:val="en-US" w:eastAsia="zh-CN" w:bidi="ar-SA"/>
        </w:rPr>
      </w:pPr>
    </w:p>
    <w:p>
      <w:pPr>
        <w:pStyle w:val="14"/>
        <w:keepNext w:val="0"/>
        <w:keepLines w:val="0"/>
        <w:pageBreakBefore w:val="0"/>
        <w:widowControl w:val="0"/>
        <w:kinsoku/>
        <w:wordWrap/>
        <w:overflowPunct/>
        <w:topLinePunct w:val="0"/>
        <w:bidi w:val="0"/>
        <w:snapToGrid w:val="0"/>
        <w:spacing w:line="400" w:lineRule="exact"/>
        <w:ind w:left="0" w:leftChars="0" w:right="0" w:rightChars="0"/>
        <w:textAlignment w:val="auto"/>
        <w:rPr>
          <w:rFonts w:eastAsia="仿宋_GB2312"/>
          <w:snapToGrid w:val="0"/>
          <w:color w:val="auto"/>
          <w:kern w:val="0"/>
          <w:sz w:val="28"/>
          <w:szCs w:val="28"/>
          <w:highlight w:val="none"/>
          <w:lang w:val="en-US" w:eastAsia="zh-CN" w:bidi="ar-SA"/>
        </w:rPr>
      </w:pPr>
      <w:r>
        <w:rPr>
          <w:rFonts w:eastAsia="仿宋_GB2312"/>
          <w:snapToGrid w:val="0"/>
          <w:color w:val="auto"/>
          <w:kern w:val="0"/>
          <w:sz w:val="28"/>
          <w:szCs w:val="28"/>
          <w:highlight w:val="none"/>
          <w:lang w:val="en-US" w:eastAsia="zh-CN" w:bidi="ar-SA"/>
        </w:rPr>
        <w:t>除对财务报表进行审计并发表审计意见外，审计中我们还关注了项目执行过程中相关单位对国家法规和项目贷款协定的遵守情况、内部控制和项目管理情况、项目绩效及上年度审计建议整改落实情况。我们发现存在如下问题：</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150"/>
        <w:jc w:val="both"/>
        <w:textAlignment w:val="auto"/>
        <w:outlineLvl w:val="9"/>
        <w:rPr>
          <w:rFonts w:hint="eastAsia" w:ascii="仿宋_GB2312" w:eastAsia="仿宋_GB2312"/>
          <w:color w:val="auto"/>
          <w:kern w:val="2"/>
          <w:sz w:val="28"/>
          <w:szCs w:val="28"/>
          <w:highlight w:val="none"/>
          <w:lang w:val="en-US" w:eastAsia="zh-CN" w:bidi="ar-SA"/>
        </w:rPr>
      </w:pPr>
    </w:p>
    <w:p>
      <w:pPr>
        <w:pStyle w:val="31"/>
        <w:numPr>
          <w:ilvl w:val="0"/>
          <w:numId w:val="0"/>
        </w:numPr>
        <w:spacing w:line="400" w:lineRule="exact"/>
        <w:ind w:firstLine="562" w:firstLineChars="200"/>
        <w:rPr>
          <w:rFonts w:hint="eastAsia" w:ascii="Times New Roman" w:hAnsi="Times New Roman" w:eastAsia="宋体" w:cs="Times New Roman"/>
          <w:b/>
          <w:color w:val="auto"/>
          <w:kern w:val="2"/>
          <w:position w:val="6"/>
          <w:sz w:val="28"/>
          <w:szCs w:val="28"/>
          <w:highlight w:val="none"/>
          <w:lang w:val="en-US" w:eastAsia="zh-CN" w:bidi="ar-SA"/>
        </w:rPr>
      </w:pPr>
      <w:r>
        <w:rPr>
          <w:rFonts w:hint="eastAsia" w:ascii="Times New Roman" w:hAnsi="Times New Roman" w:eastAsia="宋体" w:cs="Times New Roman"/>
          <w:b/>
          <w:color w:val="auto"/>
          <w:kern w:val="2"/>
          <w:position w:val="6"/>
          <w:sz w:val="28"/>
          <w:szCs w:val="28"/>
          <w:highlight w:val="none"/>
          <w:lang w:val="en-US" w:eastAsia="zh-CN" w:bidi="ar-SA"/>
        </w:rPr>
        <w:t>（一）项目管理方面存在的问题</w:t>
      </w:r>
    </w:p>
    <w:p>
      <w:pPr>
        <w:pStyle w:val="33"/>
        <w:keepNext w:val="0"/>
        <w:keepLines w:val="0"/>
        <w:pageBreakBefore w:val="0"/>
        <w:numPr>
          <w:ilvl w:val="0"/>
          <w:numId w:val="0"/>
        </w:numPr>
        <w:kinsoku/>
        <w:wordWrap/>
        <w:overflowPunct/>
        <w:topLinePunct w:val="0"/>
        <w:autoSpaceDE/>
        <w:autoSpaceDN/>
        <w:bidi w:val="0"/>
        <w:spacing w:line="400" w:lineRule="exact"/>
        <w:ind w:leftChars="147" w:right="0" w:rightChars="0"/>
        <w:textAlignment w:val="auto"/>
        <w:outlineLvl w:val="9"/>
        <w:rPr>
          <w:rFonts w:hint="eastAsia" w:ascii="仿宋_GB2312" w:hAnsi="仿宋_GB2312" w:eastAsia="仿宋_GB2312" w:cs="仿宋_GB2312"/>
          <w:b/>
          <w:bCs/>
          <w:snapToGrid w:val="0"/>
          <w:color w:val="auto"/>
          <w:kern w:val="0"/>
          <w:sz w:val="28"/>
          <w:szCs w:val="28"/>
          <w:highlight w:val="none"/>
          <w:lang w:val="en-US" w:eastAsia="zh-CN" w:bidi="ar-SA"/>
        </w:rPr>
      </w:pPr>
    </w:p>
    <w:p>
      <w:pPr>
        <w:pStyle w:val="3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ascii="Times New Roman" w:hAnsi="Times New Roman" w:eastAsia="仿宋_GB2312" w:cs="Times New Roman"/>
          <w:b/>
          <w:bCs/>
          <w:color w:val="auto"/>
          <w:kern w:val="2"/>
          <w:sz w:val="28"/>
          <w:szCs w:val="28"/>
          <w:highlight w:val="none"/>
          <w:lang w:val="en-US" w:eastAsia="zh-CN" w:bidi="ar-SA"/>
        </w:rPr>
      </w:pPr>
      <w:r>
        <w:rPr>
          <w:rFonts w:hint="eastAsia" w:ascii="Times New Roman" w:hAnsi="Times New Roman" w:eastAsia="仿宋_GB2312" w:cs="Times New Roman"/>
          <w:b/>
          <w:bCs/>
          <w:color w:val="auto"/>
          <w:kern w:val="2"/>
          <w:sz w:val="28"/>
          <w:szCs w:val="28"/>
          <w:highlight w:val="none"/>
          <w:lang w:val="en-US" w:eastAsia="zh-CN" w:bidi="ar-SA"/>
        </w:rPr>
        <w:t>1.部分子项目业主未督促施工单位按合同约定购买保险。</w:t>
      </w:r>
    </w:p>
    <w:p>
      <w:pPr>
        <w:pStyle w:val="3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黑体"/>
          <w:color w:val="auto"/>
          <w:kern w:val="2"/>
          <w:sz w:val="28"/>
          <w:szCs w:val="28"/>
          <w:highlight w:val="none"/>
          <w:lang w:val="en-US" w:eastAsia="zh-CN"/>
        </w:rPr>
      </w:pPr>
      <w:r>
        <w:rPr>
          <w:rFonts w:hint="eastAsia" w:ascii="仿宋_GB2312" w:hAnsi="仿宋_GB2312" w:eastAsia="仿宋_GB2312" w:cs="黑体"/>
          <w:color w:val="auto"/>
          <w:kern w:val="2"/>
          <w:sz w:val="28"/>
          <w:szCs w:val="28"/>
          <w:highlight w:val="none"/>
          <w:lang w:val="en-US" w:eastAsia="zh-CN"/>
        </w:rPr>
        <w:t>2018-2019年，芦山县、宝兴县、雅安市名山区住房和城乡建设局对施工单位购买的保险合同审核不严，维护自身权益不力，对</w:t>
      </w:r>
      <w:r>
        <w:rPr>
          <w:rFonts w:hint="eastAsia" w:ascii="仿宋_GB2312" w:hAnsi="仿宋" w:eastAsia="仿宋_GB2312" w:cs="黑体"/>
          <w:kern w:val="2"/>
          <w:sz w:val="28"/>
          <w:szCs w:val="28"/>
          <w:highlight w:val="none"/>
          <w:lang w:val="en-US" w:eastAsia="zh-CN"/>
        </w:rPr>
        <w:t>陕西建工机械施工集团有限公司（以下简称“陕西建工”）、华鸿建设集团有限公司（以下简称“华鸿公司”）、中诚投建工集团有限公司（以下简称“中诚投公司”）</w:t>
      </w:r>
      <w:r>
        <w:rPr>
          <w:rFonts w:hint="eastAsia" w:ascii="仿宋_GB2312" w:hAnsi="仿宋_GB2312" w:eastAsia="仿宋_GB2312" w:cs="黑体"/>
          <w:color w:val="auto"/>
          <w:kern w:val="2"/>
          <w:sz w:val="28"/>
          <w:szCs w:val="28"/>
          <w:highlight w:val="none"/>
          <w:lang w:val="en-US" w:eastAsia="zh-CN"/>
        </w:rPr>
        <w:t>等3家施工单位未按照合同约定将芦山县、宝兴县、雅安市名山区住房和城乡建设局纳入建筑工程一切险和</w:t>
      </w:r>
      <w:r>
        <w:rPr>
          <w:rFonts w:hint="eastAsia" w:ascii="仿宋_GB2312" w:hAnsi="仿宋_GB2312" w:eastAsia="仿宋_GB2312" w:cs="仿宋_GB2312"/>
          <w:kern w:val="2"/>
          <w:sz w:val="28"/>
          <w:szCs w:val="28"/>
          <w:highlight w:val="none"/>
          <w:lang w:val="en-US" w:eastAsia="zh-CN"/>
        </w:rPr>
        <w:t>团体意外伤害险</w:t>
      </w:r>
      <w:r>
        <w:rPr>
          <w:rFonts w:hint="eastAsia" w:ascii="仿宋_GB2312" w:hAnsi="仿宋_GB2312" w:eastAsia="仿宋_GB2312" w:cs="黑体"/>
          <w:color w:val="auto"/>
          <w:kern w:val="2"/>
          <w:sz w:val="28"/>
          <w:szCs w:val="28"/>
          <w:highlight w:val="none"/>
          <w:lang w:val="en-US" w:eastAsia="zh-CN"/>
        </w:rPr>
        <w:t>被保险人的行为提出异议。审计指出问题后，芦山县、宝兴县、雅安市名山区住房和城乡建设局已督促施工单位按照合同约定购买相关保险。</w:t>
      </w:r>
    </w:p>
    <w:p>
      <w:pPr>
        <w:pStyle w:val="3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黑体"/>
          <w:color w:val="auto"/>
          <w:kern w:val="2"/>
          <w:sz w:val="28"/>
          <w:szCs w:val="28"/>
          <w:highlight w:val="none"/>
          <w:lang w:val="en-US" w:eastAsia="zh-CN"/>
        </w:rPr>
      </w:pPr>
      <w:r>
        <w:rPr>
          <w:rFonts w:hint="eastAsia" w:ascii="仿宋_GB2312" w:hAnsi="仿宋_GB2312" w:eastAsia="仿宋_GB2312" w:cs="黑体"/>
          <w:color w:val="auto"/>
          <w:kern w:val="2"/>
          <w:sz w:val="28"/>
          <w:szCs w:val="28"/>
          <w:highlight w:val="none"/>
          <w:lang w:val="en-US" w:eastAsia="zh-CN"/>
        </w:rPr>
        <w:t>以上行为不符合双方签订的</w:t>
      </w:r>
      <w:r>
        <w:rPr>
          <w:rFonts w:hint="eastAsia" w:ascii="仿宋_GB2312" w:hAnsi="仿宋_GB2312" w:eastAsia="仿宋_GB2312" w:cs="黑体"/>
          <w:color w:val="auto"/>
          <w:kern w:val="2"/>
          <w:sz w:val="28"/>
          <w:szCs w:val="28"/>
          <w:highlight w:val="none"/>
          <w:u w:val="none" w:color="auto"/>
          <w:lang w:val="en-US" w:eastAsia="zh-CN"/>
        </w:rPr>
        <w:t>合同中</w:t>
      </w:r>
      <w:r>
        <w:rPr>
          <w:rFonts w:hint="eastAsia" w:ascii="仿宋_GB2312" w:hAnsi="仿宋_GB2312" w:eastAsia="仿宋_GB2312" w:cs="黑体"/>
          <w:color w:val="auto"/>
          <w:kern w:val="2"/>
          <w:sz w:val="28"/>
          <w:szCs w:val="28"/>
          <w:highlight w:val="none"/>
          <w:lang w:val="en-US" w:eastAsia="zh-CN"/>
        </w:rPr>
        <w:t>专用合同条款第14.1条“</w:t>
      </w:r>
      <w:r>
        <w:rPr>
          <w:rFonts w:hint="eastAsia" w:ascii="仿宋_GB2312" w:hAnsi="仿宋" w:eastAsia="仿宋_GB2312" w:cs="黑体"/>
          <w:kern w:val="2"/>
          <w:sz w:val="28"/>
          <w:szCs w:val="28"/>
          <w:highlight w:val="none"/>
          <w:lang w:val="en-US" w:eastAsia="zh-CN"/>
        </w:rPr>
        <w:t>承包商应以业主和承包商的共同名义，以适当数额和免赔额自开工之日起至缺陷责任期结束之日止的合同履行过程中发生的工程、设施、材料、施工机械、财产（除上述财产外）的损失或者损害，以及人员伤亡等风险提供保险……</w:t>
      </w:r>
      <w:r>
        <w:rPr>
          <w:rFonts w:hint="eastAsia" w:ascii="仿宋_GB2312" w:hAnsi="仿宋_GB2312" w:eastAsia="仿宋_GB2312" w:cs="黑体"/>
          <w:color w:val="auto"/>
          <w:kern w:val="2"/>
          <w:sz w:val="28"/>
          <w:szCs w:val="28"/>
          <w:highlight w:val="none"/>
          <w:lang w:val="en-US" w:eastAsia="zh-CN"/>
        </w:rPr>
        <w:t>”规定。建议</w:t>
      </w:r>
      <w:r>
        <w:rPr>
          <w:rFonts w:hint="eastAsia" w:ascii="Times New Roman" w:hAnsi="Times New Roman" w:eastAsia="仿宋_GB2312" w:cs="Times New Roman"/>
          <w:bCs/>
          <w:snapToGrid w:val="0"/>
          <w:color w:val="auto"/>
          <w:kern w:val="2"/>
          <w:sz w:val="28"/>
          <w:szCs w:val="28"/>
          <w:highlight w:val="none"/>
          <w:lang w:val="en-US" w:eastAsia="zh-CN" w:bidi="ar-SA"/>
        </w:rPr>
        <w:t>你办督促</w:t>
      </w:r>
      <w:r>
        <w:rPr>
          <w:rFonts w:hint="eastAsia" w:ascii="仿宋_GB2312" w:hAnsi="仿宋_GB2312" w:eastAsia="仿宋_GB2312" w:cs="黑体"/>
          <w:color w:val="auto"/>
          <w:kern w:val="2"/>
          <w:sz w:val="28"/>
          <w:szCs w:val="28"/>
          <w:highlight w:val="none"/>
          <w:lang w:val="en-US" w:eastAsia="zh-CN"/>
        </w:rPr>
        <w:t>芦山县、宝兴县、雅安市名山区住房和城乡建设局今后应严格审核保险合同，杜绝此类问题再次发生。你办已接受审计建议。</w:t>
      </w:r>
    </w:p>
    <w:p>
      <w:pPr>
        <w:pStyle w:val="3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黑体"/>
          <w:color w:val="auto"/>
          <w:kern w:val="2"/>
          <w:sz w:val="28"/>
          <w:szCs w:val="28"/>
          <w:highlight w:val="none"/>
          <w:lang w:val="en-US" w:eastAsia="zh-CN"/>
        </w:rPr>
      </w:pPr>
    </w:p>
    <w:p>
      <w:pPr>
        <w:pStyle w:val="3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default" w:ascii="Times New Roman" w:hAnsi="Times New Roman" w:eastAsia="仿宋_GB2312" w:cs="Times New Roman"/>
          <w:b/>
          <w:bCs/>
          <w:color w:val="auto"/>
          <w:kern w:val="2"/>
          <w:sz w:val="28"/>
          <w:szCs w:val="28"/>
          <w:highlight w:val="none"/>
          <w:lang w:val="en-US" w:eastAsia="zh-CN"/>
        </w:rPr>
      </w:pPr>
      <w:r>
        <w:rPr>
          <w:rFonts w:hint="default" w:ascii="Times New Roman" w:hAnsi="Times New Roman" w:eastAsia="仿宋_GB2312" w:cs="Times New Roman"/>
          <w:b/>
          <w:bCs/>
          <w:color w:val="auto"/>
          <w:kern w:val="2"/>
          <w:sz w:val="28"/>
          <w:szCs w:val="28"/>
          <w:highlight w:val="none"/>
          <w:lang w:val="en-US" w:eastAsia="zh-CN"/>
        </w:rPr>
        <w:t>2.部分子项目多</w:t>
      </w:r>
      <w:r>
        <w:rPr>
          <w:rFonts w:hint="eastAsia" w:ascii="Times New Roman" w:hAnsi="Times New Roman" w:eastAsia="仿宋_GB2312" w:cs="Times New Roman"/>
          <w:b/>
          <w:bCs/>
          <w:color w:val="auto"/>
          <w:kern w:val="2"/>
          <w:sz w:val="28"/>
          <w:szCs w:val="28"/>
          <w:highlight w:val="none"/>
          <w:lang w:val="en-US" w:eastAsia="zh-CN"/>
        </w:rPr>
        <w:t>计并多支付</w:t>
      </w:r>
      <w:r>
        <w:rPr>
          <w:rFonts w:hint="default" w:ascii="Times New Roman" w:hAnsi="Times New Roman" w:eastAsia="仿宋_GB2312" w:cs="Times New Roman"/>
          <w:b/>
          <w:bCs/>
          <w:color w:val="auto"/>
          <w:kern w:val="2"/>
          <w:sz w:val="28"/>
          <w:szCs w:val="28"/>
          <w:highlight w:val="none"/>
          <w:lang w:val="en-US" w:eastAsia="zh-CN"/>
        </w:rPr>
        <w:t>可行性研究报告编制费人民币315</w:t>
      </w:r>
      <w:r>
        <w:rPr>
          <w:rFonts w:hint="eastAsia" w:ascii="Times New Roman" w:hAnsi="Times New Roman" w:eastAsia="仿宋_GB2312" w:cs="Times New Roman"/>
          <w:b/>
          <w:bCs/>
          <w:color w:val="auto"/>
          <w:kern w:val="2"/>
          <w:sz w:val="28"/>
          <w:szCs w:val="28"/>
          <w:highlight w:val="none"/>
          <w:lang w:val="en-US" w:eastAsia="zh-CN"/>
        </w:rPr>
        <w:t>,</w:t>
      </w:r>
      <w:r>
        <w:rPr>
          <w:rFonts w:hint="default" w:ascii="Times New Roman" w:hAnsi="Times New Roman" w:eastAsia="仿宋_GB2312" w:cs="Times New Roman"/>
          <w:b/>
          <w:bCs/>
          <w:color w:val="auto"/>
          <w:kern w:val="2"/>
          <w:sz w:val="28"/>
          <w:szCs w:val="28"/>
          <w:highlight w:val="none"/>
          <w:lang w:val="en-US" w:eastAsia="zh-CN"/>
        </w:rPr>
        <w:t>455</w:t>
      </w:r>
      <w:r>
        <w:rPr>
          <w:rFonts w:hint="eastAsia" w:ascii="Times New Roman" w:hAnsi="Times New Roman" w:eastAsia="仿宋_GB2312" w:cs="Times New Roman"/>
          <w:b/>
          <w:bCs/>
          <w:color w:val="auto"/>
          <w:kern w:val="2"/>
          <w:sz w:val="28"/>
          <w:szCs w:val="28"/>
          <w:highlight w:val="none"/>
          <w:lang w:val="en-US" w:eastAsia="zh-CN"/>
        </w:rPr>
        <w:t>.00</w:t>
      </w:r>
      <w:r>
        <w:rPr>
          <w:rFonts w:hint="default" w:ascii="Times New Roman" w:hAnsi="Times New Roman" w:eastAsia="仿宋_GB2312" w:cs="Times New Roman"/>
          <w:b/>
          <w:bCs/>
          <w:color w:val="auto"/>
          <w:kern w:val="2"/>
          <w:sz w:val="28"/>
          <w:szCs w:val="28"/>
          <w:highlight w:val="none"/>
          <w:lang w:val="en-US" w:eastAsia="zh-CN"/>
        </w:rPr>
        <w:t>元。</w:t>
      </w:r>
    </w:p>
    <w:p>
      <w:pPr>
        <w:pStyle w:val="36"/>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left"/>
        <w:textAlignment w:val="auto"/>
        <w:outlineLvl w:val="9"/>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rPr>
        <w:t>2015年，</w:t>
      </w:r>
      <w:r>
        <w:rPr>
          <w:rFonts w:hint="eastAsia" w:ascii="仿宋_GB2312" w:hAnsi="仿宋_GB2312" w:eastAsia="仿宋_GB2312" w:cs="黑体"/>
          <w:color w:val="auto"/>
          <w:kern w:val="2"/>
          <w:sz w:val="28"/>
          <w:szCs w:val="28"/>
          <w:highlight w:val="none"/>
          <w:lang w:val="en-US" w:eastAsia="zh-CN"/>
        </w:rPr>
        <w:t>芦山县、宝兴县、雅安市名山区住房和城乡建设局与</w:t>
      </w:r>
      <w:r>
        <w:rPr>
          <w:rFonts w:hint="eastAsia" w:ascii="Times New Roman" w:hAnsi="Times New Roman" w:eastAsia="仿宋_GB2312" w:cs="Times New Roman"/>
          <w:color w:val="auto"/>
          <w:kern w:val="2"/>
          <w:sz w:val="28"/>
          <w:szCs w:val="28"/>
          <w:highlight w:val="none"/>
          <w:lang w:val="en-US" w:eastAsia="zh-CN"/>
        </w:rPr>
        <w:t>中铁二院和华西设计公司签订的《可行性研究合同》中，采取拆分</w:t>
      </w:r>
      <w:r>
        <w:rPr>
          <w:rFonts w:hint="default" w:ascii="Times New Roman" w:hAnsi="Times New Roman" w:eastAsia="仿宋_GB2312" w:cs="Times New Roman"/>
          <w:color w:val="auto"/>
          <w:kern w:val="2"/>
          <w:sz w:val="28"/>
          <w:szCs w:val="28"/>
          <w:highlight w:val="none"/>
          <w:lang w:val="en-US" w:eastAsia="zh-CN"/>
        </w:rPr>
        <w:t>单项</w:t>
      </w:r>
      <w:r>
        <w:rPr>
          <w:rFonts w:hint="eastAsia" w:ascii="Times New Roman" w:hAnsi="Times New Roman" w:eastAsia="仿宋_GB2312" w:cs="Times New Roman"/>
          <w:color w:val="auto"/>
          <w:kern w:val="2"/>
          <w:sz w:val="28"/>
          <w:szCs w:val="28"/>
          <w:highlight w:val="none"/>
          <w:lang w:val="en-US" w:eastAsia="zh-CN"/>
        </w:rPr>
        <w:t>工程</w:t>
      </w:r>
      <w:r>
        <w:rPr>
          <w:rFonts w:hint="default" w:ascii="Times New Roman" w:hAnsi="Times New Roman" w:eastAsia="仿宋_GB2312" w:cs="Times New Roman"/>
          <w:color w:val="auto"/>
          <w:kern w:val="2"/>
          <w:sz w:val="28"/>
          <w:szCs w:val="28"/>
          <w:highlight w:val="none"/>
          <w:lang w:val="en-US" w:eastAsia="zh-CN"/>
        </w:rPr>
        <w:t>分别计</w:t>
      </w:r>
      <w:r>
        <w:rPr>
          <w:rFonts w:hint="eastAsia" w:ascii="Times New Roman" w:hAnsi="Times New Roman" w:eastAsia="仿宋_GB2312" w:cs="Times New Roman"/>
          <w:color w:val="auto"/>
          <w:kern w:val="2"/>
          <w:sz w:val="28"/>
          <w:szCs w:val="28"/>
          <w:highlight w:val="none"/>
          <w:lang w:val="en-US" w:eastAsia="zh-CN"/>
        </w:rPr>
        <w:t>费的方式、未按行</w:t>
      </w:r>
      <w:r>
        <w:rPr>
          <w:rFonts w:hint="default" w:ascii="Times New Roman" w:hAnsi="Times New Roman" w:eastAsia="仿宋_GB2312" w:cs="Times New Roman"/>
          <w:color w:val="auto"/>
          <w:kern w:val="2"/>
          <w:sz w:val="28"/>
          <w:szCs w:val="28"/>
          <w:highlight w:val="none"/>
          <w:lang w:val="en-US" w:eastAsia="zh-CN"/>
        </w:rPr>
        <w:t>业</w:t>
      </w:r>
      <w:r>
        <w:rPr>
          <w:rFonts w:hint="eastAsia" w:ascii="Times New Roman" w:hAnsi="Times New Roman" w:eastAsia="仿宋_GB2312" w:cs="Times New Roman"/>
          <w:color w:val="auto"/>
          <w:kern w:val="2"/>
          <w:sz w:val="28"/>
          <w:szCs w:val="28"/>
          <w:highlight w:val="none"/>
          <w:lang w:val="en-US" w:eastAsia="zh-CN"/>
        </w:rPr>
        <w:t>规定调整系数确定计费金额，共多计可研报告编制费人民币315,455.00元，其中</w:t>
      </w:r>
      <w:r>
        <w:rPr>
          <w:rFonts w:hint="default" w:ascii="Times New Roman" w:hAnsi="Times New Roman" w:eastAsia="仿宋_GB2312" w:cs="Times New Roman"/>
          <w:color w:val="auto"/>
          <w:kern w:val="2"/>
          <w:sz w:val="28"/>
          <w:szCs w:val="28"/>
          <w:highlight w:val="none"/>
          <w:lang w:val="en-US" w:eastAsia="zh-CN"/>
        </w:rPr>
        <w:t>中铁二院多计</w:t>
      </w:r>
      <w:r>
        <w:rPr>
          <w:rFonts w:hint="eastAsia" w:ascii="Times New Roman" w:hAnsi="Times New Roman" w:eastAsia="仿宋_GB2312" w:cs="Times New Roman"/>
          <w:color w:val="auto"/>
          <w:kern w:val="2"/>
          <w:sz w:val="28"/>
          <w:szCs w:val="28"/>
          <w:highlight w:val="none"/>
          <w:lang w:val="en-US" w:eastAsia="zh-CN"/>
        </w:rPr>
        <w:t>人民币</w:t>
      </w:r>
      <w:r>
        <w:rPr>
          <w:rFonts w:hint="default" w:ascii="Times New Roman" w:hAnsi="Times New Roman" w:eastAsia="仿宋_GB2312" w:cs="Times New Roman"/>
          <w:color w:val="auto"/>
          <w:kern w:val="2"/>
          <w:sz w:val="28"/>
          <w:szCs w:val="28"/>
          <w:highlight w:val="none"/>
          <w:lang w:val="en-US" w:eastAsia="zh-CN"/>
        </w:rPr>
        <w:t>19</w:t>
      </w:r>
      <w:r>
        <w:rPr>
          <w:rFonts w:hint="eastAsia" w:ascii="Times New Roman" w:hAnsi="Times New Roman" w:eastAsia="仿宋_GB2312" w:cs="Times New Roman"/>
          <w:color w:val="auto"/>
          <w:kern w:val="2"/>
          <w:sz w:val="28"/>
          <w:szCs w:val="28"/>
          <w:highlight w:val="none"/>
          <w:lang w:val="en-US" w:eastAsia="zh-CN"/>
        </w:rPr>
        <w:t>1,000.00</w:t>
      </w:r>
      <w:r>
        <w:rPr>
          <w:rFonts w:hint="default" w:ascii="Times New Roman" w:hAnsi="Times New Roman" w:eastAsia="仿宋_GB2312" w:cs="Times New Roman"/>
          <w:color w:val="auto"/>
          <w:kern w:val="2"/>
          <w:sz w:val="28"/>
          <w:szCs w:val="28"/>
          <w:highlight w:val="none"/>
          <w:lang w:val="en-US" w:eastAsia="zh-CN"/>
        </w:rPr>
        <w:t>元，华西设计公司多计</w:t>
      </w:r>
      <w:r>
        <w:rPr>
          <w:rFonts w:hint="eastAsia" w:ascii="Times New Roman" w:hAnsi="Times New Roman" w:eastAsia="仿宋_GB2312" w:cs="Times New Roman"/>
          <w:color w:val="auto"/>
          <w:kern w:val="2"/>
          <w:sz w:val="28"/>
          <w:szCs w:val="28"/>
          <w:highlight w:val="none"/>
          <w:lang w:val="en-US" w:eastAsia="zh-CN"/>
        </w:rPr>
        <w:t>人民币</w:t>
      </w:r>
      <w:r>
        <w:rPr>
          <w:rFonts w:hint="default" w:ascii="Times New Roman" w:hAnsi="Times New Roman" w:eastAsia="仿宋_GB2312" w:cs="Times New Roman"/>
          <w:color w:val="auto"/>
          <w:kern w:val="2"/>
          <w:sz w:val="28"/>
          <w:szCs w:val="28"/>
          <w:highlight w:val="none"/>
          <w:lang w:val="en-US" w:eastAsia="zh-CN"/>
        </w:rPr>
        <w:t>124</w:t>
      </w:r>
      <w:r>
        <w:rPr>
          <w:rFonts w:hint="eastAsia" w:ascii="Times New Roman" w:hAnsi="Times New Roman" w:eastAsia="仿宋_GB2312" w:cs="Times New Roman"/>
          <w:color w:val="auto"/>
          <w:kern w:val="2"/>
          <w:sz w:val="28"/>
          <w:szCs w:val="28"/>
          <w:highlight w:val="none"/>
          <w:lang w:val="en-US" w:eastAsia="zh-CN"/>
        </w:rPr>
        <w:t>,</w:t>
      </w:r>
      <w:r>
        <w:rPr>
          <w:rFonts w:hint="default" w:ascii="Times New Roman" w:hAnsi="Times New Roman" w:eastAsia="仿宋_GB2312" w:cs="Times New Roman"/>
          <w:color w:val="auto"/>
          <w:kern w:val="2"/>
          <w:sz w:val="28"/>
          <w:szCs w:val="28"/>
          <w:highlight w:val="none"/>
          <w:lang w:val="en-US" w:eastAsia="zh-CN"/>
        </w:rPr>
        <w:t>455</w:t>
      </w:r>
      <w:r>
        <w:rPr>
          <w:rFonts w:hint="eastAsia" w:ascii="Times New Roman" w:hAnsi="Times New Roman" w:eastAsia="仿宋_GB2312" w:cs="Times New Roman"/>
          <w:color w:val="auto"/>
          <w:kern w:val="2"/>
          <w:sz w:val="28"/>
          <w:szCs w:val="28"/>
          <w:highlight w:val="none"/>
          <w:lang w:val="en-US" w:eastAsia="zh-CN"/>
        </w:rPr>
        <w:t>.00</w:t>
      </w:r>
      <w:r>
        <w:rPr>
          <w:rFonts w:hint="default" w:ascii="Times New Roman" w:hAnsi="Times New Roman" w:eastAsia="仿宋_GB2312" w:cs="Times New Roman"/>
          <w:color w:val="auto"/>
          <w:kern w:val="2"/>
          <w:sz w:val="28"/>
          <w:szCs w:val="28"/>
          <w:highlight w:val="none"/>
          <w:lang w:val="en-US" w:eastAsia="zh-CN"/>
        </w:rPr>
        <w:t>元</w:t>
      </w:r>
      <w:r>
        <w:rPr>
          <w:rFonts w:hint="eastAsia" w:ascii="Times New Roman" w:hAnsi="Times New Roman" w:eastAsia="仿宋_GB2312" w:cs="Times New Roman"/>
          <w:color w:val="auto"/>
          <w:kern w:val="2"/>
          <w:sz w:val="28"/>
          <w:szCs w:val="28"/>
          <w:highlight w:val="none"/>
          <w:lang w:val="en-US" w:eastAsia="zh-CN"/>
        </w:rPr>
        <w:t>。</w:t>
      </w:r>
      <w:r>
        <w:rPr>
          <w:rFonts w:hint="default" w:ascii="Times New Roman" w:hAnsi="Times New Roman" w:eastAsia="仿宋_GB2312" w:cs="Times New Roman"/>
          <w:color w:val="auto"/>
          <w:kern w:val="2"/>
          <w:sz w:val="28"/>
          <w:szCs w:val="28"/>
          <w:highlight w:val="none"/>
          <w:lang w:val="en-US" w:eastAsia="zh-CN"/>
        </w:rPr>
        <w:t>截至2019年12月31日，已全额支付。</w:t>
      </w:r>
    </w:p>
    <w:p>
      <w:pPr>
        <w:pStyle w:val="36"/>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Times New Roman" w:hAnsi="Times New Roman" w:eastAsia="仿宋_GB2312" w:cs="Times New Roman"/>
          <w:color w:val="auto"/>
          <w:kern w:val="2"/>
          <w:sz w:val="28"/>
          <w:szCs w:val="28"/>
          <w:highlight w:val="none"/>
          <w:lang w:val="en-US" w:eastAsia="zh-CN"/>
        </w:rPr>
      </w:pPr>
      <w:r>
        <w:rPr>
          <w:rFonts w:hint="eastAsia" w:ascii="Times New Roman" w:hAnsi="Times New Roman" w:eastAsia="仿宋_GB2312" w:cs="Times New Roman"/>
          <w:color w:val="auto"/>
          <w:kern w:val="2"/>
          <w:sz w:val="28"/>
          <w:szCs w:val="28"/>
          <w:highlight w:val="none"/>
          <w:lang w:val="en-US" w:eastAsia="zh-CN" w:bidi="ar-SA"/>
        </w:rPr>
        <w:t>以上行为违反了原国家计委《关于印发建设项目前期工作咨询收费暂行规定的通知》（计价格〔1999〕1283号）第十条“采取按建设项目估</w:t>
      </w:r>
      <w:r>
        <w:rPr>
          <w:rFonts w:hint="eastAsia" w:ascii="Times New Roman" w:hAnsi="Times New Roman" w:eastAsia="仿宋_GB2312" w:cs="Times New Roman"/>
          <w:color w:val="auto"/>
          <w:kern w:val="2"/>
          <w:sz w:val="28"/>
          <w:szCs w:val="28"/>
          <w:highlight w:val="none"/>
          <w:lang w:val="en-US" w:eastAsia="zh-CN"/>
        </w:rPr>
        <w:t>算投资额分档计费的，以建设项目的项目建议书或者可行性研究报告的估算投资为计费依据”及“……附表注：1.建设项目估算投资额是指项目建议书或者可行性研究报告的估算投资额……3.根据行业特点和各行业内部不同类别工程的复杂程序，计算咨询费用时可分别乘以行业调整系数和工程复杂程度调整系数……市政公用工程调整系数0.7……”的规定。建议你办督促芦山县、宝兴县、雅安市名山区住房和城乡建设局应吸取教训，今后严格审核合同，杜绝此类问题再次发生。</w:t>
      </w:r>
      <w:r>
        <w:rPr>
          <w:rFonts w:hint="eastAsia" w:ascii="仿宋_GB2312" w:hAnsi="仿宋_GB2312" w:eastAsia="仿宋_GB2312" w:cs="黑体"/>
          <w:color w:val="auto"/>
          <w:kern w:val="2"/>
          <w:sz w:val="28"/>
          <w:szCs w:val="28"/>
          <w:highlight w:val="none"/>
          <w:lang w:val="en-US" w:eastAsia="zh-CN"/>
        </w:rPr>
        <w:t>你办已接受审计建议。</w:t>
      </w:r>
    </w:p>
    <w:p>
      <w:pPr>
        <w:pStyle w:val="36"/>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left"/>
        <w:textAlignment w:val="auto"/>
        <w:outlineLvl w:val="9"/>
        <w:rPr>
          <w:rFonts w:hint="eastAsia" w:ascii="Times New Roman" w:hAnsi="Times New Roman" w:eastAsia="仿宋_GB2312" w:cs="Times New Roman"/>
          <w:color w:val="auto"/>
          <w:kern w:val="2"/>
          <w:sz w:val="28"/>
          <w:szCs w:val="28"/>
          <w:highlight w:val="none"/>
          <w:lang w:val="en-US" w:eastAsia="zh-CN"/>
        </w:rPr>
      </w:pPr>
    </w:p>
    <w:p>
      <w:pPr>
        <w:pStyle w:val="3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ascii="Times New Roman" w:hAnsi="Times New Roman" w:eastAsia="仿宋_GB2312" w:cs="Times New Roman"/>
          <w:b/>
          <w:bCs/>
          <w:color w:val="auto"/>
          <w:kern w:val="2"/>
          <w:sz w:val="28"/>
          <w:szCs w:val="28"/>
          <w:highlight w:val="none"/>
          <w:lang w:val="en-US" w:eastAsia="zh-CN" w:bidi="ar-SA"/>
        </w:rPr>
      </w:pPr>
      <w:r>
        <w:rPr>
          <w:rFonts w:hint="eastAsia" w:ascii="Times New Roman" w:hAnsi="Times New Roman" w:eastAsia="仿宋_GB2312" w:cs="Times New Roman"/>
          <w:b/>
          <w:bCs/>
          <w:color w:val="auto"/>
          <w:kern w:val="2"/>
          <w:sz w:val="28"/>
          <w:szCs w:val="28"/>
          <w:highlight w:val="none"/>
          <w:lang w:val="en-US" w:eastAsia="zh-CN" w:bidi="ar-SA"/>
        </w:rPr>
        <w:t>3.</w:t>
      </w:r>
      <w:r>
        <w:rPr>
          <w:rFonts w:hint="eastAsia" w:ascii="Times New Roman" w:hAnsi="Times New Roman" w:eastAsia="仿宋_GB2312" w:cs="黑体"/>
          <w:b/>
          <w:bCs/>
          <w:color w:val="auto"/>
          <w:kern w:val="2"/>
          <w:sz w:val="28"/>
          <w:szCs w:val="28"/>
          <w:highlight w:val="none"/>
          <w:lang w:val="en-US" w:eastAsia="zh-CN" w:bidi="ar-SA"/>
        </w:rPr>
        <w:t>业主单位、监理单位监管不力，</w:t>
      </w:r>
      <w:r>
        <w:rPr>
          <w:rFonts w:hint="eastAsia" w:ascii="Times New Roman" w:hAnsi="Times New Roman" w:eastAsia="仿宋_GB2312" w:cs="Times New Roman"/>
          <w:b/>
          <w:bCs/>
          <w:color w:val="auto"/>
          <w:kern w:val="2"/>
          <w:sz w:val="28"/>
          <w:szCs w:val="28"/>
          <w:highlight w:val="none"/>
          <w:lang w:val="en-US" w:eastAsia="zh-CN" w:bidi="ar-SA"/>
        </w:rPr>
        <w:t>个别工点未按规范落实安全防护措施。</w:t>
      </w:r>
    </w:p>
    <w:p>
      <w:pPr>
        <w:pStyle w:val="3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imes New Roman" w:hAnsi="Times New Roman" w:eastAsia="仿宋_GB2312" w:cs="Times New Roman"/>
          <w:color w:val="auto"/>
          <w:kern w:val="2"/>
          <w:sz w:val="28"/>
          <w:szCs w:val="28"/>
          <w:highlight w:val="none"/>
          <w:lang w:val="en-US" w:eastAsia="zh-CN" w:bidi="ar-SA"/>
        </w:rPr>
      </w:pPr>
      <w:r>
        <w:rPr>
          <w:rFonts w:hint="eastAsia" w:ascii="Times New Roman" w:hAnsi="Times New Roman" w:eastAsia="仿宋_GB2312" w:cs="Times New Roman"/>
          <w:color w:val="auto"/>
          <w:kern w:val="2"/>
          <w:sz w:val="28"/>
          <w:szCs w:val="28"/>
          <w:highlight w:val="none"/>
          <w:lang w:val="en-US" w:eastAsia="zh-CN" w:bidi="ar-SA"/>
        </w:rPr>
        <w:t>抽查发现，由</w:t>
      </w:r>
      <w:r>
        <w:rPr>
          <w:rFonts w:hint="eastAsia" w:ascii="仿宋_GB2312" w:hAnsi="仿宋" w:eastAsia="仿宋_GB2312" w:cs="黑体"/>
          <w:kern w:val="2"/>
          <w:sz w:val="28"/>
          <w:szCs w:val="28"/>
          <w:highlight w:val="none"/>
          <w:lang w:val="en-US" w:eastAsia="zh-CN"/>
        </w:rPr>
        <w:t>陕西建工承建的芦山县子项目</w:t>
      </w:r>
      <w:r>
        <w:rPr>
          <w:rFonts w:hint="eastAsia" w:ascii="Times New Roman" w:hAnsi="Times New Roman" w:eastAsia="仿宋_GB2312" w:cs="Times New Roman"/>
          <w:color w:val="auto"/>
          <w:kern w:val="2"/>
          <w:sz w:val="28"/>
          <w:szCs w:val="28"/>
          <w:highlight w:val="none"/>
          <w:lang w:val="en-US" w:eastAsia="zh-CN" w:bidi="ar-SA"/>
        </w:rPr>
        <w:t>滨江路右岸工程K2+500～K2+784段，桥梁临时防护栏杆高度仅为75cm；由</w:t>
      </w:r>
      <w:r>
        <w:rPr>
          <w:rFonts w:hint="eastAsia" w:ascii="仿宋_GB2312" w:hAnsi="仿宋" w:eastAsia="仿宋_GB2312" w:cs="黑体"/>
          <w:kern w:val="2"/>
          <w:sz w:val="28"/>
          <w:szCs w:val="28"/>
          <w:highlight w:val="none"/>
          <w:lang w:val="en-US" w:eastAsia="zh-CN"/>
        </w:rPr>
        <w:t>中诚投公司和湖南建工集团有限公司承建的名山区子项目</w:t>
      </w:r>
      <w:r>
        <w:rPr>
          <w:rFonts w:hint="eastAsia" w:ascii="Times New Roman" w:hAnsi="Times New Roman" w:eastAsia="仿宋_GB2312" w:cs="Times New Roman"/>
          <w:color w:val="auto"/>
          <w:kern w:val="2"/>
          <w:sz w:val="28"/>
          <w:szCs w:val="28"/>
          <w:highlight w:val="none"/>
          <w:lang w:val="en-US" w:eastAsia="zh-CN" w:bidi="ar-SA"/>
        </w:rPr>
        <w:t>名山河堤防工程及槐溪河堤防工程，挡墙边沿未设置临时防护栏杆。芦山县、雅安市名山区住房和城乡建设局和</w:t>
      </w:r>
      <w:r>
        <w:rPr>
          <w:rFonts w:hint="eastAsia" w:ascii="Times New Roman" w:hAnsi="Times New Roman" w:eastAsia="仿宋_GB2312" w:cs="黑体"/>
          <w:color w:val="auto"/>
          <w:kern w:val="2"/>
          <w:sz w:val="28"/>
          <w:szCs w:val="28"/>
          <w:highlight w:val="none"/>
          <w:lang w:val="en-US" w:eastAsia="zh-CN" w:bidi="ar-SA"/>
        </w:rPr>
        <w:t>监理单位哈莫尼集团公司和成都晨越建设项目管理股份有限公司、成都市市政建设监理有限责任公司联合体未对上述情况提出异议。审计指出问题后，</w:t>
      </w:r>
      <w:r>
        <w:rPr>
          <w:rFonts w:hint="eastAsia" w:ascii="Times New Roman" w:hAnsi="Times New Roman" w:eastAsia="仿宋_GB2312" w:cs="Times New Roman"/>
          <w:color w:val="auto"/>
          <w:kern w:val="2"/>
          <w:sz w:val="28"/>
          <w:szCs w:val="28"/>
          <w:highlight w:val="none"/>
          <w:lang w:val="en-US" w:eastAsia="zh-CN" w:bidi="ar-SA"/>
        </w:rPr>
        <w:t>芦山县、雅安市名山区住房和城乡建设局已督促施工单位完成整改。</w:t>
      </w: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Times New Roman" w:hAnsi="Times New Roman" w:eastAsia="仿宋_GB2312" w:cs="Times New Roman"/>
          <w:color w:val="auto"/>
          <w:kern w:val="2"/>
          <w:position w:val="6"/>
          <w:sz w:val="28"/>
          <w:szCs w:val="28"/>
          <w:highlight w:val="none"/>
          <w:lang w:val="en-US" w:eastAsia="zh-CN" w:bidi="ar-SA"/>
        </w:rPr>
      </w:pPr>
      <w:r>
        <w:rPr>
          <w:rFonts w:hint="eastAsia" w:ascii="Times New Roman" w:hAnsi="Times New Roman" w:eastAsia="仿宋_GB2312" w:cs="Times New Roman"/>
          <w:color w:val="auto"/>
          <w:kern w:val="2"/>
          <w:position w:val="6"/>
          <w:sz w:val="28"/>
          <w:szCs w:val="28"/>
          <w:highlight w:val="none"/>
          <w:lang w:val="en-US" w:eastAsia="zh-CN" w:bidi="ar-SA"/>
        </w:rPr>
        <w:t>上述做法违反了《建筑施工高处作业安全技术规范》中第4.1.1条“……临空高度在2m及以上的临边部位……通过设置防护栏杆、密目式安全立网及踢脚板或工具式栏板可以保证高处作业的人员安全，以及防止高处坠落物体伤人等安全事故发生……”、第4.3.1条“……防护栏杆应为两道横杠，上杆距离地面高度应为1.2m，下杆应在上杆与挡脚板中间设置……”的规定。建议</w:t>
      </w:r>
      <w:r>
        <w:rPr>
          <w:rFonts w:hint="eastAsia" w:ascii="Times New Roman" w:hAnsi="Times New Roman" w:eastAsia="仿宋_GB2312" w:cs="Times New Roman"/>
          <w:bCs/>
          <w:snapToGrid w:val="0"/>
          <w:color w:val="auto"/>
          <w:kern w:val="2"/>
          <w:position w:val="6"/>
          <w:sz w:val="28"/>
          <w:szCs w:val="28"/>
          <w:highlight w:val="none"/>
          <w:lang w:val="en-US" w:eastAsia="zh-CN" w:bidi="ar-SA"/>
        </w:rPr>
        <w:t>你办督促</w:t>
      </w:r>
      <w:r>
        <w:rPr>
          <w:rFonts w:hint="eastAsia" w:ascii="仿宋_GB2312" w:hAnsi="仿宋_GB2312" w:eastAsia="仿宋_GB2312" w:cs="Times New Roman"/>
          <w:color w:val="auto"/>
          <w:kern w:val="2"/>
          <w:position w:val="6"/>
          <w:sz w:val="28"/>
          <w:szCs w:val="28"/>
          <w:highlight w:val="none"/>
          <w:lang w:val="en-US" w:eastAsia="zh-CN" w:bidi="ar-SA"/>
        </w:rPr>
        <w:t>芦山县、雅安市名山区住房和城乡建设局今后要求</w:t>
      </w:r>
      <w:r>
        <w:rPr>
          <w:rFonts w:hint="eastAsia" w:ascii="Times New Roman" w:hAnsi="Times New Roman" w:eastAsia="仿宋_GB2312" w:cs="Times New Roman"/>
          <w:color w:val="auto"/>
          <w:kern w:val="2"/>
          <w:position w:val="6"/>
          <w:sz w:val="28"/>
          <w:szCs w:val="28"/>
          <w:highlight w:val="none"/>
          <w:lang w:val="en-US" w:eastAsia="zh-CN" w:bidi="ar-SA"/>
        </w:rPr>
        <w:t>监理单位、施工单位严格按照相关规定落实安全防护措施，加强施工现场安全文明施工管理，杜绝此类问题再次发生。</w:t>
      </w:r>
      <w:r>
        <w:rPr>
          <w:rFonts w:hint="eastAsia" w:ascii="仿宋_GB2312" w:hAnsi="仿宋_GB2312" w:eastAsia="仿宋_GB2312" w:cs="黑体"/>
          <w:color w:val="auto"/>
          <w:kern w:val="2"/>
          <w:position w:val="6"/>
          <w:sz w:val="28"/>
          <w:szCs w:val="28"/>
          <w:highlight w:val="none"/>
          <w:lang w:val="en-US" w:eastAsia="zh-CN" w:bidi="ar-SA"/>
        </w:rPr>
        <w:t>你办已接受审计建议。</w:t>
      </w: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Times New Roman" w:hAnsi="Times New Roman" w:eastAsia="仿宋_GB2312" w:cs="Times New Roman"/>
          <w:color w:val="auto"/>
          <w:kern w:val="2"/>
          <w:position w:val="6"/>
          <w:sz w:val="28"/>
          <w:szCs w:val="28"/>
          <w:highlight w:val="none"/>
          <w:lang w:val="en-US" w:eastAsia="zh-CN" w:bidi="ar-SA"/>
        </w:rPr>
      </w:pP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2" w:firstLineChars="200"/>
        <w:jc w:val="both"/>
        <w:textAlignment w:val="auto"/>
        <w:outlineLvl w:val="9"/>
        <w:rPr>
          <w:rFonts w:hint="eastAsia" w:ascii="Times New Roman" w:hAnsi="Times New Roman" w:eastAsia="仿宋_GB2312" w:cs="Times New Roman"/>
          <w:b/>
          <w:bCs/>
          <w:color w:val="auto"/>
          <w:kern w:val="2"/>
          <w:position w:val="6"/>
          <w:sz w:val="28"/>
          <w:szCs w:val="28"/>
          <w:highlight w:val="none"/>
          <w:lang w:val="en-US" w:eastAsia="zh-CN" w:bidi="ar-SA"/>
        </w:rPr>
      </w:pPr>
      <w:r>
        <w:rPr>
          <w:rFonts w:hint="eastAsia" w:ascii="Times New Roman" w:hAnsi="Times New Roman" w:eastAsia="仿宋_GB2312" w:cs="Times New Roman"/>
          <w:b/>
          <w:bCs/>
          <w:color w:val="auto"/>
          <w:kern w:val="2"/>
          <w:position w:val="6"/>
          <w:sz w:val="28"/>
          <w:szCs w:val="28"/>
          <w:highlight w:val="none"/>
          <w:lang w:val="en-US" w:eastAsia="zh-CN" w:bidi="ar-SA"/>
        </w:rPr>
        <w:t>4.部分子项目未按规范做好弃土场防护及水土保持措施。</w:t>
      </w: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Times New Roman" w:hAnsi="Times New Roman" w:eastAsia="仿宋_GB2312" w:cs="Times New Roman"/>
          <w:color w:val="auto"/>
          <w:kern w:val="2"/>
          <w:position w:val="6"/>
          <w:sz w:val="28"/>
          <w:szCs w:val="28"/>
          <w:highlight w:val="none"/>
          <w:lang w:val="en-US" w:eastAsia="zh-CN" w:bidi="ar-SA"/>
        </w:rPr>
      </w:pPr>
      <w:r>
        <w:rPr>
          <w:rFonts w:hint="eastAsia" w:ascii="Times New Roman" w:hAnsi="Times New Roman" w:eastAsia="仿宋_GB2312" w:cs="Times New Roman"/>
          <w:color w:val="auto"/>
          <w:kern w:val="2"/>
          <w:position w:val="6"/>
          <w:sz w:val="28"/>
          <w:szCs w:val="28"/>
          <w:highlight w:val="none"/>
          <w:lang w:val="en-US" w:eastAsia="zh-CN" w:bidi="ar-SA"/>
        </w:rPr>
        <w:t>抽查发现，宝兴县子项目青岭坪弃土场主要堆放道路工程钟灵北路路基开挖的弃土，约弃土1万余方，其土质为素填土及杂填土，其外侧为河道，弃土高度约6米左右，现场排水设施为挖沟槽土方，无沟槽的硬化处理，侧边无围挡防护措施；芦山县子项目滨江路右岸K2+350外侧弃土场右外侧为河道，现场未实施弃土场围挡防护及排水设施。</w:t>
      </w: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Times New Roman" w:hAnsi="Times New Roman" w:eastAsia="仿宋_GB2312" w:cs="Times New Roman"/>
          <w:color w:val="auto"/>
          <w:kern w:val="2"/>
          <w:position w:val="6"/>
          <w:sz w:val="28"/>
          <w:szCs w:val="28"/>
          <w:highlight w:val="none"/>
          <w:lang w:val="en-US" w:eastAsia="zh-CN" w:bidi="ar-SA"/>
        </w:rPr>
      </w:pPr>
      <w:r>
        <w:rPr>
          <w:rFonts w:hint="eastAsia" w:ascii="Times New Roman" w:hAnsi="Times New Roman" w:eastAsia="仿宋_GB2312" w:cs="Times New Roman"/>
          <w:color w:val="auto"/>
          <w:kern w:val="2"/>
          <w:position w:val="6"/>
          <w:sz w:val="28"/>
          <w:szCs w:val="28"/>
          <w:highlight w:val="none"/>
          <w:lang w:val="en-US" w:eastAsia="zh-CN" w:bidi="ar-SA"/>
        </w:rPr>
        <w:t>上述做法违反了《中华人民共和国水土保持法》中第三十八条“……对废弃的砂、石、土、矸石、尾矿、废渣等存放地，应当采取拦挡、坡面防护、防洪排导等措施……”的规定。建议</w:t>
      </w:r>
      <w:r>
        <w:rPr>
          <w:rFonts w:hint="eastAsia" w:ascii="Times New Roman" w:hAnsi="Times New Roman" w:eastAsia="仿宋_GB2312" w:cs="Times New Roman"/>
          <w:bCs/>
          <w:snapToGrid w:val="0"/>
          <w:color w:val="auto"/>
          <w:kern w:val="2"/>
          <w:position w:val="6"/>
          <w:sz w:val="28"/>
          <w:szCs w:val="28"/>
          <w:highlight w:val="none"/>
          <w:lang w:val="en-US" w:eastAsia="zh-CN" w:bidi="ar-SA"/>
        </w:rPr>
        <w:t>你办督促</w:t>
      </w:r>
      <w:r>
        <w:rPr>
          <w:rFonts w:hint="eastAsia" w:ascii="仿宋_GB2312" w:hAnsi="仿宋_GB2312" w:eastAsia="仿宋_GB2312" w:cs="Times New Roman"/>
          <w:color w:val="auto"/>
          <w:kern w:val="2"/>
          <w:position w:val="6"/>
          <w:sz w:val="28"/>
          <w:szCs w:val="28"/>
          <w:highlight w:val="none"/>
          <w:lang w:val="en-US" w:eastAsia="zh-CN" w:bidi="ar-SA"/>
        </w:rPr>
        <w:t>芦山县、宝兴县住房和城乡建设局整改，</w:t>
      </w:r>
      <w:r>
        <w:rPr>
          <w:rFonts w:hint="eastAsia" w:ascii="Times New Roman" w:hAnsi="Times New Roman" w:eastAsia="仿宋_GB2312" w:cs="Times New Roman"/>
          <w:color w:val="auto"/>
          <w:kern w:val="2"/>
          <w:position w:val="6"/>
          <w:sz w:val="28"/>
          <w:szCs w:val="28"/>
          <w:highlight w:val="none"/>
          <w:lang w:val="en-US" w:eastAsia="zh-CN" w:bidi="ar-SA"/>
        </w:rPr>
        <w:t>严格按照相关规定落实水土保持措施，杜绝此类问题再次发生。</w:t>
      </w:r>
      <w:r>
        <w:rPr>
          <w:rFonts w:hint="eastAsia" w:ascii="仿宋_GB2312" w:hAnsi="仿宋_GB2312" w:eastAsia="仿宋_GB2312" w:cs="黑体"/>
          <w:color w:val="auto"/>
          <w:kern w:val="2"/>
          <w:position w:val="6"/>
          <w:sz w:val="28"/>
          <w:szCs w:val="28"/>
          <w:highlight w:val="none"/>
          <w:lang w:val="en-US" w:eastAsia="zh-CN" w:bidi="ar-SA"/>
        </w:rPr>
        <w:t>你办已接受审计建议。</w:t>
      </w: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Times New Roman" w:hAnsi="Times New Roman" w:eastAsia="仿宋_GB2312" w:cs="Times New Roman"/>
          <w:color w:val="auto"/>
          <w:kern w:val="2"/>
          <w:position w:val="6"/>
          <w:sz w:val="28"/>
          <w:szCs w:val="28"/>
          <w:highlight w:val="none"/>
          <w:lang w:val="en-US" w:eastAsia="zh-CN" w:bidi="ar-SA"/>
        </w:rPr>
      </w:pP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2" w:firstLineChars="200"/>
        <w:jc w:val="both"/>
        <w:textAlignment w:val="auto"/>
        <w:outlineLvl w:val="9"/>
        <w:rPr>
          <w:rFonts w:hint="eastAsia" w:ascii="Times New Roman" w:hAnsi="Times New Roman" w:eastAsia="仿宋_GB2312" w:cs="Times New Roman"/>
          <w:b/>
          <w:bCs/>
          <w:color w:val="auto"/>
          <w:kern w:val="2"/>
          <w:position w:val="6"/>
          <w:sz w:val="28"/>
          <w:szCs w:val="28"/>
          <w:highlight w:val="none"/>
          <w:lang w:val="en-US" w:eastAsia="zh-CN" w:bidi="ar-SA"/>
        </w:rPr>
      </w:pPr>
      <w:r>
        <w:rPr>
          <w:rFonts w:hint="eastAsia" w:ascii="Times New Roman" w:hAnsi="Times New Roman" w:eastAsia="仿宋_GB2312" w:cs="Times New Roman"/>
          <w:b/>
          <w:bCs/>
          <w:color w:val="auto"/>
          <w:kern w:val="2"/>
          <w:position w:val="6"/>
          <w:sz w:val="28"/>
          <w:szCs w:val="28"/>
          <w:highlight w:val="none"/>
          <w:lang w:val="en-US" w:eastAsia="zh-CN" w:bidi="ar-SA"/>
        </w:rPr>
        <w:t>5.业主单位、监理单位监管不力，个别施工单位偷工减料、未按设计图纸施工。</w:t>
      </w: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Times New Roman" w:hAnsi="Times New Roman" w:eastAsia="仿宋_GB2312" w:cs="Times New Roman"/>
          <w:color w:val="auto"/>
          <w:kern w:val="2"/>
          <w:position w:val="6"/>
          <w:sz w:val="28"/>
          <w:szCs w:val="28"/>
          <w:highlight w:val="none"/>
          <w:lang w:val="en-US" w:eastAsia="zh-CN" w:bidi="ar-SA"/>
        </w:rPr>
      </w:pPr>
      <w:r>
        <w:rPr>
          <w:rFonts w:hint="eastAsia" w:ascii="Times New Roman" w:hAnsi="Times New Roman" w:eastAsia="仿宋_GB2312" w:cs="Times New Roman"/>
          <w:color w:val="auto"/>
          <w:kern w:val="2"/>
          <w:position w:val="6"/>
          <w:sz w:val="28"/>
          <w:szCs w:val="28"/>
          <w:highlight w:val="none"/>
          <w:lang w:val="en-US" w:eastAsia="zh-CN" w:bidi="ar-SA"/>
        </w:rPr>
        <w:t>抽查发现，由陕西建工承建的芦山县城南、中心应急避难广场工程，铺装结构层中粗砂层厚度约为10cm、0.5-2cm透水砼层约厚度约为10cm、Q2/4/6cm级配碎石层厚度约为10cm。</w:t>
      </w: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Times New Roman" w:hAnsi="Times New Roman" w:eastAsia="仿宋_GB2312" w:cs="Times New Roman"/>
          <w:color w:val="auto"/>
          <w:kern w:val="2"/>
          <w:position w:val="6"/>
          <w:sz w:val="28"/>
          <w:szCs w:val="28"/>
          <w:highlight w:val="none"/>
          <w:lang w:val="en-US" w:eastAsia="zh-CN" w:bidi="ar-SA"/>
        </w:rPr>
      </w:pPr>
      <w:r>
        <w:rPr>
          <w:rFonts w:hint="eastAsia" w:ascii="Times New Roman" w:hAnsi="Times New Roman" w:eastAsia="仿宋_GB2312" w:cs="Times New Roman"/>
          <w:color w:val="auto"/>
          <w:kern w:val="2"/>
          <w:position w:val="6"/>
          <w:sz w:val="28"/>
          <w:szCs w:val="28"/>
          <w:highlight w:val="none"/>
          <w:lang w:val="en-US" w:eastAsia="zh-CN" w:bidi="ar-SA"/>
        </w:rPr>
        <w:t>根据设计要求，粗砂层厚度应为3cm、0.5-2cm透水砼层厚度应为18cm、Q2/4/6cm级配碎石层厚度应为30cm。透水砼层、级配碎石层厚度均严重低于设计厚度，粗砂层厚度又严重高于设计厚度。芦山县住建局及监理单位哈莫尼集团公司和成都晨越建设项目管理股份有限公司、成都市市政建设监理有限责任公司联合体未对施工单位偷工减料、未按设计图纸施工提出异议。</w:t>
      </w: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Times New Roman" w:hAnsi="Times New Roman" w:eastAsia="仿宋_GB2312" w:cs="Times New Roman"/>
          <w:color w:val="auto"/>
          <w:kern w:val="2"/>
          <w:position w:val="6"/>
          <w:sz w:val="28"/>
          <w:szCs w:val="28"/>
          <w:highlight w:val="none"/>
          <w:lang w:val="en-US" w:eastAsia="zh-CN" w:bidi="ar-SA"/>
        </w:rPr>
      </w:pPr>
      <w:r>
        <w:rPr>
          <w:rFonts w:hint="eastAsia" w:ascii="Times New Roman" w:hAnsi="Times New Roman" w:eastAsia="仿宋_GB2312" w:cs="Times New Roman"/>
          <w:color w:val="auto"/>
          <w:kern w:val="2"/>
          <w:position w:val="6"/>
          <w:sz w:val="28"/>
          <w:szCs w:val="28"/>
          <w:highlight w:val="none"/>
          <w:lang w:val="en-US" w:eastAsia="zh-CN" w:bidi="ar-SA"/>
        </w:rPr>
        <w:t>上述做法违反了《建设工程质量管理条例》第二十八条“施工单位必须按照工程设计图纸和施工技术标准施工，不得擅自修改工程设计，不得偷工减料……”和第三十六条“工程监理单位应当依照法律、法规以及有关技术标准、设计文件和建设工程承包合同，代表建设单位对施工质量实施监理，并对施工质量承担监理责任……”的规定。建议</w:t>
      </w:r>
      <w:r>
        <w:rPr>
          <w:rFonts w:hint="eastAsia" w:ascii="Times New Roman" w:hAnsi="Times New Roman" w:eastAsia="仿宋_GB2312" w:cs="Times New Roman"/>
          <w:bCs/>
          <w:snapToGrid w:val="0"/>
          <w:color w:val="auto"/>
          <w:kern w:val="2"/>
          <w:position w:val="6"/>
          <w:sz w:val="28"/>
          <w:szCs w:val="28"/>
          <w:highlight w:val="none"/>
          <w:lang w:val="en-US" w:eastAsia="zh-CN" w:bidi="ar-SA"/>
        </w:rPr>
        <w:t>你办督促</w:t>
      </w:r>
      <w:r>
        <w:rPr>
          <w:rFonts w:hint="eastAsia" w:ascii="仿宋_GB2312" w:hAnsi="仿宋_GB2312" w:eastAsia="仿宋_GB2312" w:cs="Times New Roman"/>
          <w:color w:val="auto"/>
          <w:kern w:val="2"/>
          <w:position w:val="6"/>
          <w:sz w:val="28"/>
          <w:szCs w:val="28"/>
          <w:highlight w:val="none"/>
          <w:lang w:val="en-US" w:eastAsia="zh-CN" w:bidi="ar-SA"/>
        </w:rPr>
        <w:t>芦山县住房和城乡建设局整改，督促施工单位对以上存在质量问题的工点进行整改，并追究监理单位违约责任和相关人员责任，</w:t>
      </w:r>
      <w:r>
        <w:rPr>
          <w:rFonts w:hint="eastAsia" w:ascii="Times New Roman" w:hAnsi="Times New Roman" w:eastAsia="仿宋_GB2312" w:cs="Times New Roman"/>
          <w:color w:val="auto"/>
          <w:kern w:val="2"/>
          <w:position w:val="6"/>
          <w:sz w:val="28"/>
          <w:szCs w:val="28"/>
          <w:highlight w:val="none"/>
          <w:lang w:val="en-US" w:eastAsia="zh-CN" w:bidi="ar-SA"/>
        </w:rPr>
        <w:t>杜绝此类问题再次发生。</w:t>
      </w:r>
      <w:r>
        <w:rPr>
          <w:rFonts w:hint="eastAsia" w:ascii="仿宋_GB2312" w:hAnsi="仿宋_GB2312" w:eastAsia="仿宋_GB2312" w:cs="黑体"/>
          <w:color w:val="auto"/>
          <w:kern w:val="2"/>
          <w:position w:val="6"/>
          <w:sz w:val="28"/>
          <w:szCs w:val="28"/>
          <w:highlight w:val="none"/>
          <w:lang w:val="en-US" w:eastAsia="zh-CN" w:bidi="ar-SA"/>
        </w:rPr>
        <w:t>你办已接受审计建议。</w:t>
      </w: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Times New Roman" w:hAnsi="Times New Roman" w:eastAsia="仿宋_GB2312" w:cs="Times New Roman"/>
          <w:color w:val="auto"/>
          <w:kern w:val="2"/>
          <w:position w:val="6"/>
          <w:sz w:val="28"/>
          <w:szCs w:val="28"/>
          <w:highlight w:val="none"/>
          <w:lang w:val="en-US" w:eastAsia="zh-CN" w:bidi="ar-SA"/>
        </w:rPr>
      </w:pP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2" w:firstLineChars="200"/>
        <w:jc w:val="both"/>
        <w:textAlignment w:val="auto"/>
        <w:outlineLvl w:val="9"/>
        <w:rPr>
          <w:rFonts w:hint="eastAsia" w:ascii="Times New Roman" w:hAnsi="Times New Roman" w:eastAsia="仿宋_GB2312" w:cs="宋体"/>
          <w:b/>
          <w:bCs/>
          <w:color w:val="auto"/>
          <w:kern w:val="2"/>
          <w:position w:val="6"/>
          <w:sz w:val="28"/>
          <w:szCs w:val="28"/>
          <w:highlight w:val="none"/>
          <w:lang w:val="en-US" w:eastAsia="zh-CN" w:bidi="ar-SA"/>
        </w:rPr>
      </w:pPr>
      <w:r>
        <w:rPr>
          <w:rFonts w:hint="eastAsia" w:ascii="Times New Roman" w:hAnsi="Times New Roman" w:eastAsia="仿宋_GB2312" w:cs="宋体"/>
          <w:b/>
          <w:bCs/>
          <w:color w:val="auto"/>
          <w:kern w:val="2"/>
          <w:position w:val="6"/>
          <w:sz w:val="28"/>
          <w:szCs w:val="28"/>
          <w:highlight w:val="none"/>
          <w:lang w:val="en-US" w:eastAsia="zh-CN" w:bidi="ar-SA"/>
        </w:rPr>
        <w:t>6.个别子项目多计项目建设成本人民币33,000,000.00元。</w:t>
      </w: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Times New Roman" w:hAnsi="Times New Roman" w:eastAsia="仿宋_GB2312" w:cs="宋体"/>
          <w:color w:val="auto"/>
          <w:kern w:val="2"/>
          <w:position w:val="6"/>
          <w:sz w:val="28"/>
          <w:szCs w:val="28"/>
          <w:highlight w:val="none"/>
          <w:lang w:val="en-US" w:eastAsia="zh-CN" w:bidi="ar-SA"/>
        </w:rPr>
      </w:pPr>
      <w:r>
        <w:rPr>
          <w:rFonts w:hint="eastAsia" w:ascii="Times New Roman" w:hAnsi="Times New Roman" w:eastAsia="仿宋_GB2312" w:cs="宋体"/>
          <w:color w:val="auto"/>
          <w:kern w:val="2"/>
          <w:position w:val="6"/>
          <w:sz w:val="28"/>
          <w:szCs w:val="28"/>
          <w:highlight w:val="none"/>
          <w:lang w:val="en-US" w:eastAsia="zh-CN" w:bidi="ar-SA"/>
        </w:rPr>
        <w:t>截至2019年12月31日，芦山县住房和城乡建设局按照原芦山县国土资源局批准的建设用地预审，除累计预付芦阳镇拆迁补偿费、土地补偿费人民币7,564,805.93元外，还以缴纳“土地划拨费”的名义，于2019年5月23日向芦山县重建办申请预缴土地划拨款人民币33,000,000.00元,并于2019年5月29日缴入芦山县财政局，多计建设成本人民币33,000,000.00元。</w:t>
      </w: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Times New Roman" w:hAnsi="Times New Roman" w:eastAsia="仿宋_GB2312" w:cs="宋体"/>
          <w:color w:val="auto"/>
          <w:kern w:val="2"/>
          <w:position w:val="6"/>
          <w:sz w:val="28"/>
          <w:szCs w:val="28"/>
          <w:highlight w:val="none"/>
          <w:lang w:val="en-US" w:eastAsia="zh-CN" w:bidi="ar-SA"/>
        </w:rPr>
      </w:pPr>
      <w:r>
        <w:rPr>
          <w:rFonts w:hint="eastAsia" w:ascii="Times New Roman" w:hAnsi="Times New Roman" w:eastAsia="仿宋_GB2312" w:cs="宋体"/>
          <w:color w:val="auto"/>
          <w:kern w:val="2"/>
          <w:position w:val="6"/>
          <w:sz w:val="28"/>
          <w:szCs w:val="28"/>
          <w:highlight w:val="none"/>
          <w:lang w:val="en-US" w:eastAsia="zh-CN" w:bidi="ar-SA"/>
        </w:rPr>
        <w:t>以上行为不符合《基本建设财务规则》（财政部第81号令）第二十二条“项目建设单位应当严格控制建设成本的范围、标准和支出责任，以下支出不得列入项目建设成本：……（七）其他不属于本项目应当负担的支出……”的规定。建议你办督促芦山县住建局纠正，调整有关会计账目和会计报表。你办已接受审计建议。</w:t>
      </w:r>
    </w:p>
    <w:p>
      <w:pPr>
        <w:pStyle w:val="31"/>
        <w:keepNext w:val="0"/>
        <w:keepLines w:val="0"/>
        <w:pageBreakBefore w:val="0"/>
        <w:widowControl w:val="0"/>
        <w:kinsoku/>
        <w:wordWrap/>
        <w:overflowPunct/>
        <w:topLinePunct w:val="0"/>
        <w:autoSpaceDE/>
        <w:autoSpaceDN/>
        <w:bidi w:val="0"/>
        <w:adjustRightInd/>
        <w:snapToGrid/>
        <w:spacing w:line="400" w:lineRule="exact"/>
        <w:ind w:right="0" w:rightChars="0" w:firstLine="562" w:firstLineChars="200"/>
        <w:jc w:val="both"/>
        <w:textAlignment w:val="auto"/>
        <w:outlineLvl w:val="9"/>
        <w:rPr>
          <w:rFonts w:hint="eastAsia" w:ascii="Times New Roman" w:hAnsi="Times New Roman" w:eastAsia="仿宋_GB2312" w:cs="Times New Roman"/>
          <w:b/>
          <w:bCs/>
          <w:color w:val="auto"/>
          <w:kern w:val="2"/>
          <w:position w:val="6"/>
          <w:sz w:val="28"/>
          <w:szCs w:val="28"/>
          <w:highlight w:val="none"/>
          <w:lang w:val="en-US" w:eastAsia="zh-CN" w:bidi="ar-SA"/>
        </w:rPr>
      </w:pPr>
    </w:p>
    <w:p>
      <w:pPr>
        <w:pStyle w:val="3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Chars="228" w:right="0" w:rightChars="0" w:firstLine="281" w:firstLineChars="100"/>
        <w:jc w:val="both"/>
        <w:textAlignment w:val="auto"/>
        <w:outlineLvl w:val="9"/>
        <w:rPr>
          <w:rFonts w:hint="default" w:ascii="Times New Roman" w:hAnsi="Times New Roman" w:eastAsia="仿宋_GB2312" w:cs="Times New Roman"/>
          <w:b/>
          <w:bCs/>
          <w:color w:val="auto"/>
          <w:kern w:val="2"/>
          <w:sz w:val="28"/>
          <w:szCs w:val="28"/>
          <w:highlight w:val="none"/>
          <w:lang w:val="en-US" w:eastAsia="zh-CN" w:bidi="ar-SA"/>
        </w:rPr>
      </w:pPr>
      <w:r>
        <w:rPr>
          <w:rFonts w:hint="eastAsia" w:ascii="Times New Roman" w:hAnsi="Times New Roman" w:eastAsia="仿宋_GB2312" w:cs="Times New Roman"/>
          <w:b/>
          <w:bCs/>
          <w:color w:val="auto"/>
          <w:kern w:val="2"/>
          <w:sz w:val="28"/>
          <w:szCs w:val="28"/>
          <w:highlight w:val="none"/>
          <w:lang w:val="en-US" w:eastAsia="zh-CN" w:bidi="ar-SA"/>
        </w:rPr>
        <w:t>7.</w:t>
      </w:r>
      <w:r>
        <w:rPr>
          <w:rFonts w:hint="default" w:ascii="Times New Roman" w:hAnsi="Times New Roman" w:eastAsia="仿宋_GB2312" w:cs="Times New Roman"/>
          <w:b/>
          <w:bCs/>
          <w:color w:val="auto"/>
          <w:kern w:val="2"/>
          <w:sz w:val="28"/>
          <w:szCs w:val="28"/>
          <w:highlight w:val="none"/>
          <w:lang w:val="en-US" w:eastAsia="zh-CN" w:bidi="ar-SA"/>
        </w:rPr>
        <w:t>部分子项目会计核算不规范</w:t>
      </w:r>
      <w:r>
        <w:rPr>
          <w:rFonts w:hint="eastAsia" w:ascii="Times New Roman" w:hAnsi="Times New Roman" w:eastAsia="仿宋_GB2312" w:cs="Times New Roman"/>
          <w:b/>
          <w:bCs/>
          <w:color w:val="auto"/>
          <w:kern w:val="2"/>
          <w:sz w:val="28"/>
          <w:szCs w:val="28"/>
          <w:highlight w:val="none"/>
          <w:lang w:val="en-US" w:eastAsia="zh-CN" w:bidi="ar-SA"/>
        </w:rPr>
        <w:t>，涉及金额人民币69,928,381.75元。</w:t>
      </w:r>
    </w:p>
    <w:p>
      <w:pPr>
        <w:pStyle w:val="3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560" w:firstLineChars="200"/>
        <w:jc w:val="both"/>
        <w:textAlignment w:val="auto"/>
        <w:outlineLvl w:val="9"/>
        <w:rPr>
          <w:rFonts w:hint="default" w:eastAsia="仿宋_GB2312" w:cs="Times New Roman"/>
          <w:b w:val="0"/>
          <w:bCs w:val="0"/>
          <w:color w:val="auto"/>
          <w:kern w:val="2"/>
          <w:sz w:val="28"/>
          <w:szCs w:val="28"/>
          <w:highlight w:val="none"/>
          <w:lang w:val="en-US" w:eastAsia="zh-CN" w:bidi="ar-SA"/>
        </w:rPr>
      </w:pPr>
      <w:r>
        <w:rPr>
          <w:rFonts w:hint="default" w:eastAsia="仿宋_GB2312" w:cs="Times New Roman"/>
          <w:b w:val="0"/>
          <w:bCs w:val="0"/>
          <w:color w:val="auto"/>
          <w:kern w:val="2"/>
          <w:sz w:val="28"/>
          <w:szCs w:val="28"/>
          <w:highlight w:val="none"/>
          <w:lang w:val="en-US" w:eastAsia="zh-CN" w:bidi="ar-SA"/>
        </w:rPr>
        <w:t>（1）</w:t>
      </w:r>
      <w:bookmarkStart w:id="12" w:name="OLE_LINK18"/>
      <w:r>
        <w:rPr>
          <w:rFonts w:hint="eastAsia" w:eastAsia="仿宋_GB2312" w:cs="Times New Roman"/>
          <w:b w:val="0"/>
          <w:bCs w:val="0"/>
          <w:color w:val="auto"/>
          <w:kern w:val="2"/>
          <w:sz w:val="28"/>
          <w:szCs w:val="28"/>
          <w:highlight w:val="none"/>
          <w:lang w:val="en-US" w:eastAsia="zh-CN" w:bidi="ar-SA"/>
        </w:rPr>
        <w:t>部分子项目</w:t>
      </w:r>
      <w:bookmarkEnd w:id="12"/>
      <w:r>
        <w:rPr>
          <w:rFonts w:hint="default" w:eastAsia="仿宋_GB2312" w:cs="Times New Roman"/>
          <w:b w:val="0"/>
          <w:bCs w:val="0"/>
          <w:color w:val="auto"/>
          <w:kern w:val="2"/>
          <w:sz w:val="28"/>
          <w:szCs w:val="28"/>
          <w:highlight w:val="none"/>
          <w:lang w:val="en-US" w:eastAsia="zh-CN" w:bidi="ar-SA"/>
        </w:rPr>
        <w:t>少计</w:t>
      </w:r>
      <w:r>
        <w:rPr>
          <w:rFonts w:hint="eastAsia" w:eastAsia="仿宋_GB2312" w:cs="Times New Roman"/>
          <w:b w:val="0"/>
          <w:bCs w:val="0"/>
          <w:color w:val="auto"/>
          <w:kern w:val="2"/>
          <w:sz w:val="28"/>
          <w:szCs w:val="28"/>
          <w:highlight w:val="none"/>
          <w:lang w:val="en-US" w:eastAsia="zh-CN" w:bidi="ar-SA"/>
        </w:rPr>
        <w:t>建筑安装工程投资</w:t>
      </w:r>
      <w:r>
        <w:rPr>
          <w:rFonts w:hint="default" w:eastAsia="仿宋_GB2312" w:cs="Times New Roman"/>
          <w:b w:val="0"/>
          <w:bCs w:val="0"/>
          <w:color w:val="auto"/>
          <w:kern w:val="2"/>
          <w:sz w:val="28"/>
          <w:szCs w:val="28"/>
          <w:highlight w:val="none"/>
          <w:lang w:val="en-US" w:eastAsia="zh-CN" w:bidi="ar-SA"/>
        </w:rPr>
        <w:t>人民币</w:t>
      </w:r>
      <w:bookmarkStart w:id="13" w:name="OLE_LINK17"/>
      <w:bookmarkStart w:id="14" w:name="OLE_LINK24"/>
      <w:r>
        <w:rPr>
          <w:rFonts w:hint="eastAsia" w:eastAsia="仿宋_GB2312" w:cs="Times New Roman"/>
          <w:b w:val="0"/>
          <w:bCs w:val="0"/>
          <w:color w:val="auto"/>
          <w:kern w:val="2"/>
          <w:sz w:val="28"/>
          <w:szCs w:val="28"/>
          <w:highlight w:val="none"/>
          <w:lang w:val="en-US" w:eastAsia="zh-CN" w:bidi="ar-SA"/>
        </w:rPr>
        <w:t>19,160,351.7</w:t>
      </w:r>
      <w:bookmarkEnd w:id="13"/>
      <w:r>
        <w:rPr>
          <w:rFonts w:hint="eastAsia" w:eastAsia="仿宋_GB2312" w:cs="Times New Roman"/>
          <w:b w:val="0"/>
          <w:bCs w:val="0"/>
          <w:color w:val="auto"/>
          <w:kern w:val="2"/>
          <w:sz w:val="28"/>
          <w:szCs w:val="28"/>
          <w:highlight w:val="none"/>
          <w:lang w:val="en-US" w:eastAsia="zh-CN" w:bidi="ar-SA"/>
        </w:rPr>
        <w:t>0</w:t>
      </w:r>
      <w:r>
        <w:rPr>
          <w:rFonts w:hint="default" w:eastAsia="仿宋_GB2312" w:cs="Times New Roman"/>
          <w:b w:val="0"/>
          <w:bCs w:val="0"/>
          <w:color w:val="auto"/>
          <w:kern w:val="2"/>
          <w:sz w:val="28"/>
          <w:szCs w:val="28"/>
          <w:highlight w:val="none"/>
          <w:lang w:val="en-US" w:eastAsia="zh-CN" w:bidi="ar-SA"/>
        </w:rPr>
        <w:t>元</w:t>
      </w:r>
      <w:bookmarkEnd w:id="14"/>
      <w:r>
        <w:rPr>
          <w:rFonts w:hint="default" w:eastAsia="仿宋_GB2312" w:cs="Times New Roman"/>
          <w:b w:val="0"/>
          <w:bCs w:val="0"/>
          <w:color w:val="auto"/>
          <w:kern w:val="2"/>
          <w:sz w:val="28"/>
          <w:szCs w:val="28"/>
          <w:highlight w:val="none"/>
          <w:lang w:val="en-US" w:eastAsia="zh-CN" w:bidi="ar-SA"/>
        </w:rPr>
        <w:t>。</w:t>
      </w:r>
    </w:p>
    <w:p>
      <w:pPr>
        <w:pStyle w:val="3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560" w:firstLineChars="200"/>
        <w:jc w:val="both"/>
        <w:textAlignment w:val="auto"/>
        <w:outlineLvl w:val="9"/>
        <w:rPr>
          <w:rFonts w:hint="eastAsia" w:eastAsia="仿宋_GB2312" w:cs="Times New Roman"/>
          <w:b w:val="0"/>
          <w:bCs w:val="0"/>
          <w:color w:val="auto"/>
          <w:kern w:val="2"/>
          <w:sz w:val="28"/>
          <w:szCs w:val="28"/>
          <w:highlight w:val="none"/>
          <w:lang w:val="en-US" w:eastAsia="zh-CN" w:bidi="ar-SA"/>
        </w:rPr>
      </w:pPr>
      <w:r>
        <w:rPr>
          <w:rFonts w:hint="default" w:eastAsia="仿宋_GB2312" w:cs="Times New Roman"/>
          <w:b w:val="0"/>
          <w:bCs w:val="0"/>
          <w:color w:val="auto"/>
          <w:kern w:val="2"/>
          <w:sz w:val="28"/>
          <w:szCs w:val="28"/>
          <w:highlight w:val="none"/>
          <w:lang w:val="en-US" w:eastAsia="zh-CN" w:bidi="ar-SA"/>
        </w:rPr>
        <w:t>201</w:t>
      </w:r>
      <w:r>
        <w:rPr>
          <w:rFonts w:hint="eastAsia" w:eastAsia="仿宋_GB2312" w:cs="Times New Roman"/>
          <w:b w:val="0"/>
          <w:bCs w:val="0"/>
          <w:color w:val="auto"/>
          <w:kern w:val="2"/>
          <w:sz w:val="28"/>
          <w:szCs w:val="28"/>
          <w:highlight w:val="none"/>
          <w:lang w:val="en-US" w:eastAsia="zh-CN" w:bidi="ar-SA"/>
        </w:rPr>
        <w:t>9</w:t>
      </w:r>
      <w:r>
        <w:rPr>
          <w:rFonts w:hint="default" w:eastAsia="仿宋_GB2312" w:cs="Times New Roman"/>
          <w:b w:val="0"/>
          <w:bCs w:val="0"/>
          <w:color w:val="auto"/>
          <w:kern w:val="2"/>
          <w:sz w:val="28"/>
          <w:szCs w:val="28"/>
          <w:highlight w:val="none"/>
          <w:lang w:val="en-US" w:eastAsia="zh-CN" w:bidi="ar-SA"/>
        </w:rPr>
        <w:t>年，</w:t>
      </w:r>
      <w:r>
        <w:rPr>
          <w:rFonts w:hint="eastAsia" w:eastAsia="仿宋_GB2312" w:cs="Times New Roman"/>
          <w:b w:val="0"/>
          <w:bCs w:val="0"/>
          <w:color w:val="auto"/>
          <w:kern w:val="2"/>
          <w:sz w:val="28"/>
          <w:szCs w:val="28"/>
          <w:highlight w:val="none"/>
          <w:lang w:val="en-US" w:eastAsia="zh-CN" w:bidi="ar-SA"/>
        </w:rPr>
        <w:t>部分子项目</w:t>
      </w:r>
      <w:r>
        <w:rPr>
          <w:rFonts w:hint="default" w:eastAsia="仿宋_GB2312" w:cs="Times New Roman"/>
          <w:b w:val="0"/>
          <w:bCs w:val="0"/>
          <w:color w:val="auto"/>
          <w:kern w:val="2"/>
          <w:sz w:val="28"/>
          <w:szCs w:val="28"/>
          <w:highlight w:val="none"/>
          <w:lang w:val="en-US" w:eastAsia="zh-CN" w:bidi="ar-SA"/>
        </w:rPr>
        <w:t>未</w:t>
      </w:r>
      <w:r>
        <w:rPr>
          <w:rFonts w:hint="eastAsia" w:eastAsia="仿宋_GB2312" w:cs="Times New Roman"/>
          <w:b w:val="0"/>
          <w:bCs w:val="0"/>
          <w:color w:val="auto"/>
          <w:kern w:val="2"/>
          <w:sz w:val="28"/>
          <w:szCs w:val="28"/>
          <w:highlight w:val="none"/>
          <w:lang w:val="en-US" w:eastAsia="zh-CN" w:bidi="ar-SA"/>
        </w:rPr>
        <w:t>对已提交提款报账申请的工程完成值</w:t>
      </w:r>
      <w:r>
        <w:rPr>
          <w:rFonts w:hint="default" w:eastAsia="仿宋_GB2312" w:cs="Times New Roman"/>
          <w:b w:val="0"/>
          <w:bCs w:val="0"/>
          <w:color w:val="auto"/>
          <w:kern w:val="2"/>
          <w:sz w:val="28"/>
          <w:szCs w:val="28"/>
          <w:highlight w:val="none"/>
          <w:lang w:val="en-US" w:eastAsia="zh-CN" w:bidi="ar-SA"/>
        </w:rPr>
        <w:t>按会计制度要求进行核算</w:t>
      </w:r>
      <w:r>
        <w:rPr>
          <w:rFonts w:hint="eastAsia" w:eastAsia="仿宋_GB2312" w:cs="Times New Roman"/>
          <w:b w:val="0"/>
          <w:bCs w:val="0"/>
          <w:color w:val="auto"/>
          <w:kern w:val="2"/>
          <w:sz w:val="28"/>
          <w:szCs w:val="28"/>
          <w:highlight w:val="none"/>
          <w:lang w:val="en-US" w:eastAsia="zh-CN" w:bidi="ar-SA"/>
        </w:rPr>
        <w:t>，少计建筑安装工程投资</w:t>
      </w:r>
      <w:r>
        <w:rPr>
          <w:rFonts w:hint="default" w:eastAsia="仿宋_GB2312" w:cs="Times New Roman"/>
          <w:b w:val="0"/>
          <w:bCs w:val="0"/>
          <w:color w:val="auto"/>
          <w:kern w:val="2"/>
          <w:sz w:val="28"/>
          <w:szCs w:val="28"/>
          <w:highlight w:val="none"/>
          <w:lang w:val="en-US" w:eastAsia="zh-CN" w:bidi="ar-SA"/>
        </w:rPr>
        <w:t>人民币</w:t>
      </w:r>
      <w:r>
        <w:rPr>
          <w:rFonts w:hint="eastAsia" w:eastAsia="仿宋_GB2312" w:cs="Times New Roman"/>
          <w:b w:val="0"/>
          <w:bCs w:val="0"/>
          <w:color w:val="auto"/>
          <w:kern w:val="2"/>
          <w:sz w:val="28"/>
          <w:szCs w:val="28"/>
          <w:highlight w:val="none"/>
          <w:lang w:val="en-US" w:eastAsia="zh-CN" w:bidi="ar-SA"/>
        </w:rPr>
        <w:t>19,160,351.70</w:t>
      </w:r>
      <w:r>
        <w:rPr>
          <w:rFonts w:hint="default" w:eastAsia="仿宋_GB2312" w:cs="Times New Roman"/>
          <w:b w:val="0"/>
          <w:bCs w:val="0"/>
          <w:color w:val="auto"/>
          <w:kern w:val="2"/>
          <w:sz w:val="28"/>
          <w:szCs w:val="28"/>
          <w:highlight w:val="none"/>
          <w:lang w:val="en-US" w:eastAsia="zh-CN" w:bidi="ar-SA"/>
        </w:rPr>
        <w:t>元</w:t>
      </w:r>
      <w:r>
        <w:rPr>
          <w:rFonts w:hint="eastAsia" w:eastAsia="仿宋_GB2312" w:cs="Times New Roman"/>
          <w:b w:val="0"/>
          <w:bCs w:val="0"/>
          <w:color w:val="auto"/>
          <w:kern w:val="2"/>
          <w:sz w:val="28"/>
          <w:szCs w:val="28"/>
          <w:highlight w:val="none"/>
          <w:lang w:val="en-US" w:eastAsia="zh-CN" w:bidi="ar-SA"/>
        </w:rPr>
        <w:t>，其中芦山县子项目少计</w:t>
      </w:r>
      <w:r>
        <w:rPr>
          <w:rFonts w:hint="default" w:eastAsia="仿宋_GB2312" w:cs="Times New Roman"/>
          <w:b w:val="0"/>
          <w:bCs w:val="0"/>
          <w:color w:val="auto"/>
          <w:kern w:val="2"/>
          <w:sz w:val="28"/>
          <w:szCs w:val="28"/>
          <w:highlight w:val="none"/>
          <w:lang w:val="en-US" w:eastAsia="zh-CN" w:bidi="ar-SA"/>
        </w:rPr>
        <w:t>人民币</w:t>
      </w:r>
      <w:r>
        <w:rPr>
          <w:rFonts w:hint="eastAsia" w:eastAsia="仿宋_GB2312" w:cs="Times New Roman"/>
          <w:b w:val="0"/>
          <w:bCs w:val="0"/>
          <w:color w:val="auto"/>
          <w:kern w:val="2"/>
          <w:sz w:val="28"/>
          <w:szCs w:val="28"/>
          <w:highlight w:val="none"/>
          <w:lang w:val="en-US" w:eastAsia="zh-CN" w:bidi="ar-SA"/>
        </w:rPr>
        <w:t>14,135,653.55元、雅安市名山区子项目少计</w:t>
      </w:r>
      <w:r>
        <w:rPr>
          <w:rFonts w:hint="default" w:eastAsia="仿宋_GB2312" w:cs="Times New Roman"/>
          <w:b w:val="0"/>
          <w:bCs w:val="0"/>
          <w:color w:val="auto"/>
          <w:kern w:val="2"/>
          <w:sz w:val="28"/>
          <w:szCs w:val="28"/>
          <w:highlight w:val="none"/>
          <w:lang w:val="en-US" w:eastAsia="zh-CN" w:bidi="ar-SA"/>
        </w:rPr>
        <w:t>人民币</w:t>
      </w:r>
      <w:r>
        <w:rPr>
          <w:rFonts w:hint="eastAsia" w:eastAsia="仿宋_GB2312" w:cs="Times New Roman"/>
          <w:b w:val="0"/>
          <w:bCs w:val="0"/>
          <w:color w:val="auto"/>
          <w:kern w:val="2"/>
          <w:sz w:val="28"/>
          <w:szCs w:val="28"/>
          <w:highlight w:val="none"/>
          <w:lang w:val="en-US" w:eastAsia="zh-CN" w:bidi="ar-SA"/>
        </w:rPr>
        <w:t>5,024,698.15元。</w:t>
      </w:r>
    </w:p>
    <w:p>
      <w:pPr>
        <w:pStyle w:val="3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560" w:firstLineChars="200"/>
        <w:jc w:val="both"/>
        <w:textAlignment w:val="auto"/>
        <w:outlineLvl w:val="9"/>
        <w:rPr>
          <w:rFonts w:hint="default" w:eastAsia="仿宋_GB2312" w:cs="Times New Roman"/>
          <w:b w:val="0"/>
          <w:bCs w:val="0"/>
          <w:color w:val="auto"/>
          <w:kern w:val="2"/>
          <w:sz w:val="28"/>
          <w:szCs w:val="28"/>
          <w:highlight w:val="none"/>
          <w:lang w:val="en-US" w:eastAsia="zh-CN" w:bidi="ar-SA"/>
        </w:rPr>
      </w:pPr>
      <w:r>
        <w:rPr>
          <w:rFonts w:hint="default" w:eastAsia="仿宋_GB2312" w:cs="Times New Roman"/>
          <w:b w:val="0"/>
          <w:bCs w:val="0"/>
          <w:color w:val="auto"/>
          <w:kern w:val="2"/>
          <w:sz w:val="28"/>
          <w:szCs w:val="28"/>
          <w:highlight w:val="none"/>
          <w:lang w:val="en-US" w:eastAsia="zh-CN" w:bidi="ar-SA"/>
        </w:rPr>
        <w:t>（</w:t>
      </w:r>
      <w:r>
        <w:rPr>
          <w:rFonts w:hint="eastAsia" w:eastAsia="仿宋_GB2312" w:cs="Times New Roman"/>
          <w:b w:val="0"/>
          <w:bCs w:val="0"/>
          <w:color w:val="auto"/>
          <w:kern w:val="2"/>
          <w:sz w:val="28"/>
          <w:szCs w:val="28"/>
          <w:highlight w:val="none"/>
          <w:lang w:val="en-US" w:eastAsia="zh-CN" w:bidi="ar-SA"/>
        </w:rPr>
        <w:t>2</w:t>
      </w:r>
      <w:r>
        <w:rPr>
          <w:rFonts w:hint="default" w:eastAsia="仿宋_GB2312" w:cs="Times New Roman"/>
          <w:b w:val="0"/>
          <w:bCs w:val="0"/>
          <w:color w:val="auto"/>
          <w:kern w:val="2"/>
          <w:sz w:val="28"/>
          <w:szCs w:val="28"/>
          <w:highlight w:val="none"/>
          <w:lang w:val="en-US" w:eastAsia="zh-CN" w:bidi="ar-SA"/>
        </w:rPr>
        <w:t>）</w:t>
      </w:r>
      <w:r>
        <w:rPr>
          <w:rFonts w:hint="eastAsia" w:eastAsia="仿宋_GB2312" w:cs="Times New Roman"/>
          <w:b w:val="0"/>
          <w:bCs w:val="0"/>
          <w:color w:val="auto"/>
          <w:kern w:val="2"/>
          <w:sz w:val="28"/>
          <w:szCs w:val="28"/>
          <w:highlight w:val="none"/>
          <w:lang w:val="en-US" w:eastAsia="zh-CN" w:bidi="ar-SA"/>
        </w:rPr>
        <w:t>个别</w:t>
      </w:r>
      <w:r>
        <w:rPr>
          <w:rFonts w:hint="default" w:eastAsia="仿宋_GB2312" w:cs="Times New Roman"/>
          <w:b w:val="0"/>
          <w:bCs w:val="0"/>
          <w:color w:val="auto"/>
          <w:kern w:val="2"/>
          <w:sz w:val="28"/>
          <w:szCs w:val="28"/>
          <w:highlight w:val="none"/>
          <w:lang w:val="en-US" w:eastAsia="zh-CN" w:bidi="ar-SA"/>
        </w:rPr>
        <w:t>子项目</w:t>
      </w:r>
      <w:r>
        <w:rPr>
          <w:rFonts w:hint="eastAsia" w:eastAsia="仿宋_GB2312" w:cs="Times New Roman"/>
          <w:b w:val="0"/>
          <w:bCs w:val="0"/>
          <w:color w:val="auto"/>
          <w:kern w:val="2"/>
          <w:sz w:val="28"/>
          <w:szCs w:val="28"/>
          <w:highlight w:val="none"/>
          <w:lang w:val="en-US" w:eastAsia="zh-CN" w:bidi="ar-SA"/>
        </w:rPr>
        <w:t>多</w:t>
      </w:r>
      <w:r>
        <w:rPr>
          <w:rFonts w:hint="default" w:eastAsia="仿宋_GB2312" w:cs="Times New Roman"/>
          <w:b w:val="0"/>
          <w:bCs w:val="0"/>
          <w:color w:val="auto"/>
          <w:kern w:val="2"/>
          <w:sz w:val="28"/>
          <w:szCs w:val="28"/>
          <w:highlight w:val="none"/>
          <w:lang w:val="en-US" w:eastAsia="zh-CN" w:bidi="ar-SA"/>
        </w:rPr>
        <w:t>计</w:t>
      </w:r>
      <w:r>
        <w:rPr>
          <w:rFonts w:hint="eastAsia" w:eastAsia="仿宋_GB2312" w:cs="Times New Roman"/>
          <w:b w:val="0"/>
          <w:bCs w:val="0"/>
          <w:color w:val="auto"/>
          <w:kern w:val="2"/>
          <w:sz w:val="28"/>
          <w:szCs w:val="28"/>
          <w:highlight w:val="none"/>
          <w:lang w:val="en-US" w:eastAsia="zh-CN" w:bidi="ar-SA"/>
        </w:rPr>
        <w:t>待摊投资</w:t>
      </w:r>
      <w:r>
        <w:rPr>
          <w:rFonts w:hint="default" w:eastAsia="仿宋_GB2312" w:cs="Times New Roman"/>
          <w:b w:val="0"/>
          <w:bCs w:val="0"/>
          <w:color w:val="auto"/>
          <w:kern w:val="2"/>
          <w:sz w:val="28"/>
          <w:szCs w:val="28"/>
          <w:highlight w:val="none"/>
          <w:lang w:val="en-US" w:eastAsia="zh-CN" w:bidi="ar-SA"/>
        </w:rPr>
        <w:t>人民币</w:t>
      </w:r>
      <w:bookmarkStart w:id="15" w:name="OLE_LINK16"/>
      <w:r>
        <w:rPr>
          <w:rFonts w:hint="eastAsia" w:eastAsia="仿宋_GB2312" w:cs="Times New Roman"/>
          <w:b w:val="0"/>
          <w:bCs w:val="0"/>
          <w:color w:val="auto"/>
          <w:kern w:val="2"/>
          <w:sz w:val="28"/>
          <w:szCs w:val="28"/>
          <w:highlight w:val="none"/>
          <w:lang w:val="en-US" w:eastAsia="zh-CN" w:bidi="ar-SA"/>
        </w:rPr>
        <w:t>1,400,070.00</w:t>
      </w:r>
      <w:r>
        <w:rPr>
          <w:rFonts w:hint="default" w:eastAsia="仿宋_GB2312" w:cs="Times New Roman"/>
          <w:b w:val="0"/>
          <w:bCs w:val="0"/>
          <w:color w:val="auto"/>
          <w:kern w:val="2"/>
          <w:sz w:val="28"/>
          <w:szCs w:val="28"/>
          <w:highlight w:val="none"/>
          <w:lang w:val="en-US" w:eastAsia="zh-CN" w:bidi="ar-SA"/>
        </w:rPr>
        <w:t>元</w:t>
      </w:r>
      <w:bookmarkEnd w:id="15"/>
      <w:r>
        <w:rPr>
          <w:rFonts w:hint="default" w:eastAsia="仿宋_GB2312" w:cs="Times New Roman"/>
          <w:b w:val="0"/>
          <w:bCs w:val="0"/>
          <w:color w:val="auto"/>
          <w:kern w:val="2"/>
          <w:sz w:val="28"/>
          <w:szCs w:val="28"/>
          <w:highlight w:val="none"/>
          <w:lang w:val="en-US" w:eastAsia="zh-CN" w:bidi="ar-SA"/>
        </w:rPr>
        <w:t>。</w:t>
      </w:r>
    </w:p>
    <w:p>
      <w:pPr>
        <w:pStyle w:val="3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560" w:firstLineChars="200"/>
        <w:jc w:val="both"/>
        <w:textAlignment w:val="auto"/>
        <w:outlineLvl w:val="9"/>
        <w:rPr>
          <w:rFonts w:hint="eastAsia" w:eastAsia="仿宋_GB2312" w:cs="Times New Roman"/>
          <w:b w:val="0"/>
          <w:bCs w:val="0"/>
          <w:color w:val="auto"/>
          <w:kern w:val="2"/>
          <w:sz w:val="28"/>
          <w:szCs w:val="28"/>
          <w:highlight w:val="none"/>
          <w:lang w:val="en-US" w:eastAsia="zh-CN" w:bidi="ar-SA"/>
        </w:rPr>
      </w:pPr>
      <w:r>
        <w:rPr>
          <w:rFonts w:hint="default" w:eastAsia="仿宋_GB2312" w:cs="Times New Roman"/>
          <w:b w:val="0"/>
          <w:bCs w:val="0"/>
          <w:color w:val="auto"/>
          <w:kern w:val="2"/>
          <w:sz w:val="28"/>
          <w:szCs w:val="28"/>
          <w:highlight w:val="none"/>
          <w:lang w:val="en-US" w:eastAsia="zh-CN" w:bidi="ar-SA"/>
        </w:rPr>
        <w:t>201</w:t>
      </w:r>
      <w:r>
        <w:rPr>
          <w:rFonts w:hint="eastAsia" w:eastAsia="仿宋_GB2312" w:cs="Times New Roman"/>
          <w:b w:val="0"/>
          <w:bCs w:val="0"/>
          <w:color w:val="auto"/>
          <w:kern w:val="2"/>
          <w:sz w:val="28"/>
          <w:szCs w:val="28"/>
          <w:highlight w:val="none"/>
          <w:lang w:val="en-US" w:eastAsia="zh-CN" w:bidi="ar-SA"/>
        </w:rPr>
        <w:t>9</w:t>
      </w:r>
      <w:r>
        <w:rPr>
          <w:rFonts w:hint="default" w:eastAsia="仿宋_GB2312" w:cs="Times New Roman"/>
          <w:b w:val="0"/>
          <w:bCs w:val="0"/>
          <w:color w:val="auto"/>
          <w:kern w:val="2"/>
          <w:sz w:val="28"/>
          <w:szCs w:val="28"/>
          <w:highlight w:val="none"/>
          <w:lang w:val="en-US" w:eastAsia="zh-CN" w:bidi="ar-SA"/>
        </w:rPr>
        <w:t>年，</w:t>
      </w:r>
      <w:r>
        <w:rPr>
          <w:rFonts w:hint="eastAsia" w:eastAsia="仿宋_GB2312" w:cs="Times New Roman"/>
          <w:b w:val="0"/>
          <w:bCs w:val="0"/>
          <w:color w:val="auto"/>
          <w:kern w:val="2"/>
          <w:sz w:val="28"/>
          <w:szCs w:val="28"/>
          <w:highlight w:val="none"/>
          <w:lang w:val="en-US" w:eastAsia="zh-CN" w:bidi="ar-SA"/>
        </w:rPr>
        <w:t>芦山县住房和城乡建设局将尚未确定用地面积的预缴耕地占用税计入待摊投资，多计待摊投资</w:t>
      </w:r>
      <w:r>
        <w:rPr>
          <w:rFonts w:hint="default" w:eastAsia="仿宋_GB2312" w:cs="Times New Roman"/>
          <w:b w:val="0"/>
          <w:bCs w:val="0"/>
          <w:color w:val="auto"/>
          <w:kern w:val="2"/>
          <w:sz w:val="28"/>
          <w:szCs w:val="28"/>
          <w:highlight w:val="none"/>
          <w:lang w:val="en-US" w:eastAsia="zh-CN" w:bidi="ar-SA"/>
        </w:rPr>
        <w:t>人民币</w:t>
      </w:r>
      <w:r>
        <w:rPr>
          <w:rFonts w:hint="eastAsia" w:eastAsia="仿宋_GB2312" w:cs="Times New Roman"/>
          <w:b w:val="0"/>
          <w:bCs w:val="0"/>
          <w:color w:val="auto"/>
          <w:kern w:val="2"/>
          <w:sz w:val="28"/>
          <w:szCs w:val="28"/>
          <w:highlight w:val="none"/>
          <w:lang w:val="en-US" w:eastAsia="zh-CN" w:bidi="ar-SA"/>
        </w:rPr>
        <w:t>1,400,070.00</w:t>
      </w:r>
      <w:r>
        <w:rPr>
          <w:rFonts w:hint="default" w:eastAsia="仿宋_GB2312" w:cs="Times New Roman"/>
          <w:b w:val="0"/>
          <w:bCs w:val="0"/>
          <w:color w:val="auto"/>
          <w:kern w:val="2"/>
          <w:sz w:val="28"/>
          <w:szCs w:val="28"/>
          <w:highlight w:val="none"/>
          <w:lang w:val="en-US" w:eastAsia="zh-CN" w:bidi="ar-SA"/>
        </w:rPr>
        <w:t>元</w:t>
      </w:r>
      <w:r>
        <w:rPr>
          <w:rFonts w:hint="eastAsia" w:eastAsia="仿宋_GB2312" w:cs="Times New Roman"/>
          <w:b w:val="0"/>
          <w:bCs w:val="0"/>
          <w:color w:val="auto"/>
          <w:kern w:val="2"/>
          <w:sz w:val="28"/>
          <w:szCs w:val="28"/>
          <w:highlight w:val="none"/>
          <w:lang w:val="en-US" w:eastAsia="zh-CN" w:bidi="ar-SA"/>
        </w:rPr>
        <w:t>。</w:t>
      </w:r>
    </w:p>
    <w:p>
      <w:pPr>
        <w:pStyle w:val="3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560" w:firstLineChars="200"/>
        <w:jc w:val="both"/>
        <w:textAlignment w:val="auto"/>
        <w:outlineLvl w:val="9"/>
        <w:rPr>
          <w:rFonts w:hint="eastAsia" w:eastAsia="仿宋_GB2312" w:cs="Times New Roman"/>
          <w:b w:val="0"/>
          <w:bCs w:val="0"/>
          <w:color w:val="auto"/>
          <w:kern w:val="2"/>
          <w:sz w:val="28"/>
          <w:szCs w:val="28"/>
          <w:highlight w:val="none"/>
          <w:lang w:val="en-US" w:eastAsia="zh-CN" w:bidi="ar-SA"/>
        </w:rPr>
      </w:pPr>
      <w:r>
        <w:rPr>
          <w:rFonts w:hint="eastAsia" w:eastAsia="仿宋_GB2312" w:cs="Times New Roman"/>
          <w:b w:val="0"/>
          <w:bCs w:val="0"/>
          <w:color w:val="auto"/>
          <w:kern w:val="2"/>
          <w:sz w:val="28"/>
          <w:szCs w:val="28"/>
          <w:highlight w:val="none"/>
          <w:lang w:val="en-US" w:eastAsia="zh-CN" w:bidi="ar-SA"/>
        </w:rPr>
        <w:t>（3）个别子项目少计其他应付款</w:t>
      </w:r>
      <w:r>
        <w:rPr>
          <w:rFonts w:hint="default" w:eastAsia="仿宋_GB2312" w:cs="Times New Roman"/>
          <w:b w:val="0"/>
          <w:bCs w:val="0"/>
          <w:color w:val="auto"/>
          <w:kern w:val="2"/>
          <w:sz w:val="28"/>
          <w:szCs w:val="28"/>
          <w:highlight w:val="none"/>
          <w:lang w:val="en-US" w:eastAsia="zh-CN" w:bidi="ar-SA"/>
        </w:rPr>
        <w:t>人民币2</w:t>
      </w:r>
      <w:r>
        <w:rPr>
          <w:rFonts w:hint="eastAsia" w:eastAsia="仿宋_GB2312" w:cs="Times New Roman"/>
          <w:b w:val="0"/>
          <w:bCs w:val="0"/>
          <w:color w:val="auto"/>
          <w:kern w:val="2"/>
          <w:sz w:val="28"/>
          <w:szCs w:val="28"/>
          <w:highlight w:val="none"/>
          <w:lang w:val="en-US" w:eastAsia="zh-CN" w:bidi="ar-SA"/>
        </w:rPr>
        <w:t>,</w:t>
      </w:r>
      <w:r>
        <w:rPr>
          <w:rFonts w:hint="default" w:eastAsia="仿宋_GB2312" w:cs="Times New Roman"/>
          <w:b w:val="0"/>
          <w:bCs w:val="0"/>
          <w:color w:val="auto"/>
          <w:kern w:val="2"/>
          <w:sz w:val="28"/>
          <w:szCs w:val="28"/>
          <w:highlight w:val="none"/>
          <w:lang w:val="en-US" w:eastAsia="zh-CN" w:bidi="ar-SA"/>
        </w:rPr>
        <w:t>948</w:t>
      </w:r>
      <w:r>
        <w:rPr>
          <w:rFonts w:hint="eastAsia" w:eastAsia="仿宋_GB2312" w:cs="Times New Roman"/>
          <w:b w:val="0"/>
          <w:bCs w:val="0"/>
          <w:color w:val="auto"/>
          <w:kern w:val="2"/>
          <w:sz w:val="28"/>
          <w:szCs w:val="28"/>
          <w:highlight w:val="none"/>
          <w:lang w:val="en-US" w:eastAsia="zh-CN" w:bidi="ar-SA"/>
        </w:rPr>
        <w:t>,</w:t>
      </w:r>
      <w:r>
        <w:rPr>
          <w:rFonts w:hint="default" w:eastAsia="仿宋_GB2312" w:cs="Times New Roman"/>
          <w:b w:val="0"/>
          <w:bCs w:val="0"/>
          <w:color w:val="auto"/>
          <w:kern w:val="2"/>
          <w:sz w:val="28"/>
          <w:szCs w:val="28"/>
          <w:highlight w:val="none"/>
          <w:lang w:val="en-US" w:eastAsia="zh-CN" w:bidi="ar-SA"/>
        </w:rPr>
        <w:t>374.8</w:t>
      </w:r>
      <w:r>
        <w:rPr>
          <w:rFonts w:hint="eastAsia" w:eastAsia="仿宋_GB2312" w:cs="Times New Roman"/>
          <w:b w:val="0"/>
          <w:bCs w:val="0"/>
          <w:color w:val="auto"/>
          <w:kern w:val="2"/>
          <w:sz w:val="28"/>
          <w:szCs w:val="28"/>
          <w:highlight w:val="none"/>
          <w:lang w:val="en-US" w:eastAsia="zh-CN" w:bidi="ar-SA"/>
        </w:rPr>
        <w:t>8元。</w:t>
      </w:r>
    </w:p>
    <w:p>
      <w:pPr>
        <w:pStyle w:val="3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560" w:firstLineChars="200"/>
        <w:jc w:val="both"/>
        <w:textAlignment w:val="auto"/>
        <w:outlineLvl w:val="9"/>
        <w:rPr>
          <w:rFonts w:hint="eastAsia" w:eastAsia="仿宋_GB2312" w:cs="Times New Roman"/>
          <w:b w:val="0"/>
          <w:bCs w:val="0"/>
          <w:color w:val="auto"/>
          <w:kern w:val="2"/>
          <w:sz w:val="28"/>
          <w:szCs w:val="28"/>
          <w:highlight w:val="none"/>
          <w:lang w:val="en-US" w:eastAsia="zh-CN" w:bidi="ar-SA"/>
        </w:rPr>
      </w:pPr>
      <w:r>
        <w:rPr>
          <w:rFonts w:hint="eastAsia" w:eastAsia="仿宋_GB2312" w:cs="Times New Roman"/>
          <w:b w:val="0"/>
          <w:bCs w:val="0"/>
          <w:color w:val="auto"/>
          <w:kern w:val="2"/>
          <w:sz w:val="28"/>
          <w:szCs w:val="28"/>
          <w:highlight w:val="none"/>
          <w:lang w:val="en-US" w:eastAsia="zh-CN" w:bidi="ar-SA"/>
        </w:rPr>
        <w:t>2019年，雅安市名山区住房和城乡建设局未将项目保留金</w:t>
      </w:r>
      <w:r>
        <w:rPr>
          <w:rFonts w:hint="default" w:eastAsia="仿宋_GB2312" w:cs="Times New Roman"/>
          <w:b w:val="0"/>
          <w:bCs w:val="0"/>
          <w:color w:val="auto"/>
          <w:kern w:val="2"/>
          <w:sz w:val="28"/>
          <w:szCs w:val="28"/>
          <w:highlight w:val="none"/>
          <w:lang w:val="en-US" w:eastAsia="zh-CN" w:bidi="ar-SA"/>
        </w:rPr>
        <w:t>人民币2</w:t>
      </w:r>
      <w:r>
        <w:rPr>
          <w:rFonts w:hint="eastAsia" w:eastAsia="仿宋_GB2312" w:cs="Times New Roman"/>
          <w:b w:val="0"/>
          <w:bCs w:val="0"/>
          <w:color w:val="auto"/>
          <w:kern w:val="2"/>
          <w:sz w:val="28"/>
          <w:szCs w:val="28"/>
          <w:highlight w:val="none"/>
          <w:lang w:val="en-US" w:eastAsia="zh-CN" w:bidi="ar-SA"/>
        </w:rPr>
        <w:t>,</w:t>
      </w:r>
      <w:r>
        <w:rPr>
          <w:rFonts w:hint="default" w:eastAsia="仿宋_GB2312" w:cs="Times New Roman"/>
          <w:b w:val="0"/>
          <w:bCs w:val="0"/>
          <w:color w:val="auto"/>
          <w:kern w:val="2"/>
          <w:sz w:val="28"/>
          <w:szCs w:val="28"/>
          <w:highlight w:val="none"/>
          <w:lang w:val="en-US" w:eastAsia="zh-CN" w:bidi="ar-SA"/>
        </w:rPr>
        <w:t>948</w:t>
      </w:r>
      <w:r>
        <w:rPr>
          <w:rFonts w:hint="eastAsia" w:eastAsia="仿宋_GB2312" w:cs="Times New Roman"/>
          <w:b w:val="0"/>
          <w:bCs w:val="0"/>
          <w:color w:val="auto"/>
          <w:kern w:val="2"/>
          <w:sz w:val="28"/>
          <w:szCs w:val="28"/>
          <w:highlight w:val="none"/>
          <w:lang w:val="en-US" w:eastAsia="zh-CN" w:bidi="ar-SA"/>
        </w:rPr>
        <w:t>,</w:t>
      </w:r>
      <w:r>
        <w:rPr>
          <w:rFonts w:hint="default" w:eastAsia="仿宋_GB2312" w:cs="Times New Roman"/>
          <w:b w:val="0"/>
          <w:bCs w:val="0"/>
          <w:color w:val="auto"/>
          <w:kern w:val="2"/>
          <w:sz w:val="28"/>
          <w:szCs w:val="28"/>
          <w:highlight w:val="none"/>
          <w:lang w:val="en-US" w:eastAsia="zh-CN" w:bidi="ar-SA"/>
        </w:rPr>
        <w:t>374.8</w:t>
      </w:r>
      <w:r>
        <w:rPr>
          <w:rFonts w:hint="eastAsia" w:eastAsia="仿宋_GB2312" w:cs="Times New Roman"/>
          <w:b w:val="0"/>
          <w:bCs w:val="0"/>
          <w:color w:val="auto"/>
          <w:kern w:val="2"/>
          <w:sz w:val="28"/>
          <w:szCs w:val="28"/>
          <w:highlight w:val="none"/>
          <w:lang w:val="en-US" w:eastAsia="zh-CN" w:bidi="ar-SA"/>
        </w:rPr>
        <w:t>8元计入其他应付款，其中计入预付工程款</w:t>
      </w:r>
      <w:r>
        <w:rPr>
          <w:rFonts w:hint="default" w:eastAsia="仿宋_GB2312" w:cs="Times New Roman"/>
          <w:b w:val="0"/>
          <w:bCs w:val="0"/>
          <w:color w:val="auto"/>
          <w:kern w:val="2"/>
          <w:sz w:val="28"/>
          <w:szCs w:val="28"/>
          <w:highlight w:val="none"/>
          <w:lang w:val="en-US" w:eastAsia="zh-CN" w:bidi="ar-SA"/>
        </w:rPr>
        <w:t>人民币</w:t>
      </w:r>
      <w:r>
        <w:rPr>
          <w:rFonts w:hint="eastAsia" w:eastAsia="仿宋_GB2312" w:cs="Times New Roman"/>
          <w:b w:val="0"/>
          <w:bCs w:val="0"/>
          <w:color w:val="auto"/>
          <w:kern w:val="2"/>
          <w:sz w:val="28"/>
          <w:szCs w:val="28"/>
          <w:highlight w:val="none"/>
          <w:lang w:val="en-US" w:eastAsia="zh-CN" w:bidi="ar-SA"/>
        </w:rPr>
        <w:t>2,445,905.06，未记账</w:t>
      </w:r>
      <w:r>
        <w:rPr>
          <w:rFonts w:hint="default" w:eastAsia="仿宋_GB2312" w:cs="Times New Roman"/>
          <w:b w:val="0"/>
          <w:bCs w:val="0"/>
          <w:color w:val="auto"/>
          <w:kern w:val="2"/>
          <w:sz w:val="28"/>
          <w:szCs w:val="28"/>
          <w:highlight w:val="none"/>
          <w:lang w:val="en-US" w:eastAsia="zh-CN" w:bidi="ar-SA"/>
        </w:rPr>
        <w:t>人民币502</w:t>
      </w:r>
      <w:r>
        <w:rPr>
          <w:rFonts w:hint="eastAsia" w:eastAsia="仿宋_GB2312" w:cs="Times New Roman"/>
          <w:b w:val="0"/>
          <w:bCs w:val="0"/>
          <w:color w:val="auto"/>
          <w:kern w:val="2"/>
          <w:sz w:val="28"/>
          <w:szCs w:val="28"/>
          <w:highlight w:val="none"/>
          <w:lang w:val="en-US" w:eastAsia="zh-CN" w:bidi="ar-SA"/>
        </w:rPr>
        <w:t>,</w:t>
      </w:r>
      <w:r>
        <w:rPr>
          <w:rFonts w:hint="default" w:eastAsia="仿宋_GB2312" w:cs="Times New Roman"/>
          <w:b w:val="0"/>
          <w:bCs w:val="0"/>
          <w:color w:val="auto"/>
          <w:kern w:val="2"/>
          <w:sz w:val="28"/>
          <w:szCs w:val="28"/>
          <w:highlight w:val="none"/>
          <w:lang w:val="en-US" w:eastAsia="zh-CN" w:bidi="ar-SA"/>
        </w:rPr>
        <w:t>469.82</w:t>
      </w:r>
      <w:r>
        <w:rPr>
          <w:rFonts w:hint="eastAsia" w:eastAsia="仿宋_GB2312" w:cs="Times New Roman"/>
          <w:b w:val="0"/>
          <w:bCs w:val="0"/>
          <w:color w:val="auto"/>
          <w:kern w:val="2"/>
          <w:sz w:val="28"/>
          <w:szCs w:val="28"/>
          <w:highlight w:val="none"/>
          <w:lang w:val="en-US" w:eastAsia="zh-CN" w:bidi="ar-SA"/>
        </w:rPr>
        <w:t>元。</w:t>
      </w:r>
    </w:p>
    <w:p>
      <w:pPr>
        <w:pStyle w:val="3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560" w:firstLineChars="200"/>
        <w:jc w:val="both"/>
        <w:textAlignment w:val="auto"/>
        <w:outlineLvl w:val="9"/>
        <w:rPr>
          <w:rFonts w:hint="eastAsia" w:eastAsia="仿宋_GB2312" w:cs="Times New Roman"/>
          <w:b w:val="0"/>
          <w:bCs w:val="0"/>
          <w:color w:val="auto"/>
          <w:kern w:val="2"/>
          <w:sz w:val="28"/>
          <w:szCs w:val="28"/>
          <w:highlight w:val="none"/>
          <w:lang w:val="en-US" w:eastAsia="zh-CN" w:bidi="ar-SA"/>
        </w:rPr>
      </w:pPr>
      <w:r>
        <w:rPr>
          <w:rFonts w:hint="eastAsia" w:eastAsia="仿宋_GB2312" w:cs="Times New Roman"/>
          <w:b w:val="0"/>
          <w:bCs w:val="0"/>
          <w:color w:val="auto"/>
          <w:kern w:val="2"/>
          <w:sz w:val="28"/>
          <w:szCs w:val="28"/>
          <w:highlight w:val="none"/>
          <w:lang w:val="en-US" w:eastAsia="zh-CN" w:bidi="ar-SA"/>
        </w:rPr>
        <w:t>（4）个别子项目账表不符，报表反映错误涉及金额人民币26,241,448.54元。</w:t>
      </w:r>
    </w:p>
    <w:p>
      <w:pPr>
        <w:pStyle w:val="3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560" w:firstLineChars="200"/>
        <w:jc w:val="both"/>
        <w:textAlignment w:val="auto"/>
        <w:outlineLvl w:val="9"/>
        <w:rPr>
          <w:rFonts w:hint="eastAsia" w:eastAsia="仿宋_GB2312" w:cs="Times New Roman"/>
          <w:b w:val="0"/>
          <w:bCs w:val="0"/>
          <w:color w:val="auto"/>
          <w:kern w:val="2"/>
          <w:sz w:val="28"/>
          <w:szCs w:val="28"/>
          <w:highlight w:val="none"/>
          <w:lang w:val="en-US" w:eastAsia="zh-CN" w:bidi="ar-SA"/>
        </w:rPr>
      </w:pPr>
      <w:r>
        <w:rPr>
          <w:rFonts w:hint="eastAsia" w:eastAsia="仿宋_GB2312" w:cs="Times New Roman"/>
          <w:b w:val="0"/>
          <w:bCs w:val="0"/>
          <w:color w:val="auto"/>
          <w:kern w:val="2"/>
          <w:sz w:val="28"/>
          <w:szCs w:val="28"/>
          <w:highlight w:val="none"/>
          <w:lang w:val="en-US" w:eastAsia="zh-CN" w:bidi="ar-SA"/>
        </w:rPr>
        <w:t>宝兴县住房和城乡建设局将预付工程款全部反映在资金平衡表在建工程期末金额中，报表多反映在建工程人民币13,120,724.27元，少反映预付工程款人民币13,120,724.27元。</w:t>
      </w:r>
    </w:p>
    <w:p>
      <w:pPr>
        <w:pStyle w:val="3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560" w:firstLineChars="200"/>
        <w:jc w:val="both"/>
        <w:textAlignment w:val="auto"/>
        <w:outlineLvl w:val="9"/>
        <w:rPr>
          <w:rFonts w:hint="eastAsia" w:eastAsia="仿宋_GB2312" w:cs="Times New Roman"/>
          <w:b w:val="0"/>
          <w:bCs w:val="0"/>
          <w:color w:val="auto"/>
          <w:kern w:val="2"/>
          <w:sz w:val="28"/>
          <w:szCs w:val="28"/>
          <w:highlight w:val="none"/>
          <w:lang w:val="en-US" w:eastAsia="zh-CN" w:bidi="ar-SA"/>
        </w:rPr>
      </w:pPr>
      <w:r>
        <w:rPr>
          <w:rFonts w:hint="eastAsia" w:eastAsia="仿宋_GB2312" w:cs="Times New Roman"/>
          <w:b w:val="0"/>
          <w:bCs w:val="0"/>
          <w:color w:val="auto"/>
          <w:kern w:val="2"/>
          <w:sz w:val="28"/>
          <w:szCs w:val="28"/>
          <w:highlight w:val="none"/>
          <w:lang w:val="en-US" w:eastAsia="zh-CN" w:bidi="ar-SA"/>
        </w:rPr>
        <w:t>（5）个别子项目</w:t>
      </w:r>
      <w:bookmarkStart w:id="16" w:name="OLE_LINK13"/>
      <w:r>
        <w:rPr>
          <w:rFonts w:hint="default" w:eastAsia="仿宋_GB2312" w:cs="Times New Roman"/>
          <w:b w:val="0"/>
          <w:bCs w:val="0"/>
          <w:color w:val="auto"/>
          <w:kern w:val="2"/>
          <w:sz w:val="28"/>
          <w:szCs w:val="28"/>
          <w:highlight w:val="none"/>
          <w:lang w:val="en-US" w:eastAsia="zh-CN" w:bidi="ar-SA"/>
        </w:rPr>
        <w:t>会计核算记账原则</w:t>
      </w:r>
      <w:bookmarkEnd w:id="16"/>
      <w:r>
        <w:rPr>
          <w:rFonts w:hint="eastAsia" w:eastAsia="仿宋_GB2312" w:cs="Times New Roman"/>
          <w:b w:val="0"/>
          <w:bCs w:val="0"/>
          <w:color w:val="auto"/>
          <w:kern w:val="2"/>
          <w:sz w:val="28"/>
          <w:szCs w:val="28"/>
          <w:highlight w:val="none"/>
          <w:lang w:val="en-US" w:eastAsia="zh-CN" w:bidi="ar-SA"/>
        </w:rPr>
        <w:t>错误，涉及金额人民币20,178,136.63元。</w:t>
      </w:r>
    </w:p>
    <w:p>
      <w:pPr>
        <w:pStyle w:val="3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560" w:firstLineChars="200"/>
        <w:jc w:val="both"/>
        <w:textAlignment w:val="auto"/>
        <w:outlineLvl w:val="9"/>
        <w:rPr>
          <w:rFonts w:hint="eastAsia" w:ascii="仿宋_GB2312" w:hAnsi="仿宋" w:eastAsia="仿宋_GB2312"/>
          <w:kern w:val="2"/>
          <w:sz w:val="28"/>
          <w:szCs w:val="28"/>
          <w:highlight w:val="none"/>
          <w:lang w:val="en-US" w:eastAsia="zh-CN" w:bidi="ar-SA"/>
        </w:rPr>
      </w:pPr>
      <w:r>
        <w:rPr>
          <w:rFonts w:hint="eastAsia" w:eastAsia="仿宋_GB2312" w:cs="Times New Roman"/>
          <w:b w:val="0"/>
          <w:bCs w:val="0"/>
          <w:color w:val="auto"/>
          <w:kern w:val="2"/>
          <w:sz w:val="28"/>
          <w:szCs w:val="28"/>
          <w:highlight w:val="none"/>
          <w:lang w:val="en-US" w:eastAsia="zh-CN" w:bidi="ar-SA"/>
        </w:rPr>
        <w:t>抽查发现，2019年雅安市名山区住房和城乡建设局对项目工程款、</w:t>
      </w:r>
      <w:r>
        <w:rPr>
          <w:rFonts w:hint="eastAsia" w:ascii="仿宋_GB2312" w:hAnsi="仿宋" w:eastAsia="仿宋_GB2312"/>
          <w:kern w:val="2"/>
          <w:sz w:val="28"/>
          <w:szCs w:val="28"/>
          <w:highlight w:val="none"/>
          <w:lang w:val="en-US" w:eastAsia="zh-CN" w:bidi="ar-SA"/>
        </w:rPr>
        <w:t>勘察、移民等成本费用采用收付实现制进行会计核算，涉及金额人民币</w:t>
      </w:r>
      <w:r>
        <w:rPr>
          <w:rFonts w:hint="eastAsia" w:eastAsia="仿宋_GB2312" w:cs="Times New Roman"/>
          <w:b w:val="0"/>
          <w:bCs w:val="0"/>
          <w:color w:val="auto"/>
          <w:kern w:val="2"/>
          <w:sz w:val="28"/>
          <w:szCs w:val="28"/>
          <w:highlight w:val="none"/>
          <w:lang w:val="en-US" w:eastAsia="zh-CN" w:bidi="ar-SA"/>
        </w:rPr>
        <w:t>20,178,136.63</w:t>
      </w:r>
      <w:r>
        <w:rPr>
          <w:rFonts w:hint="eastAsia" w:ascii="仿宋_GB2312" w:hAnsi="仿宋" w:eastAsia="仿宋_GB2312"/>
          <w:kern w:val="2"/>
          <w:sz w:val="28"/>
          <w:szCs w:val="28"/>
          <w:highlight w:val="none"/>
          <w:lang w:val="en-US" w:eastAsia="zh-CN" w:bidi="ar-SA"/>
        </w:rPr>
        <w:t>元。</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32" w:firstLineChars="226"/>
        <w:jc w:val="both"/>
        <w:textAlignment w:val="auto"/>
        <w:outlineLvl w:val="9"/>
        <w:rPr>
          <w:rFonts w:hint="eastAsia" w:ascii="仿宋_GB2312" w:hAnsi="仿宋" w:eastAsia="仿宋_GB2312"/>
          <w:kern w:val="2"/>
          <w:sz w:val="28"/>
          <w:szCs w:val="28"/>
          <w:highlight w:val="none"/>
          <w:lang w:val="en-US" w:eastAsia="zh-CN" w:bidi="ar-SA"/>
        </w:rPr>
      </w:pPr>
      <w:r>
        <w:rPr>
          <w:rFonts w:hint="default" w:ascii="仿宋_GB2312" w:hAnsi="仿宋" w:eastAsia="仿宋_GB2312"/>
          <w:kern w:val="2"/>
          <w:sz w:val="28"/>
          <w:szCs w:val="28"/>
          <w:highlight w:val="none"/>
          <w:lang w:val="en-US" w:eastAsia="zh-CN" w:bidi="ar-SA"/>
        </w:rPr>
        <w:t>上述做法</w:t>
      </w:r>
      <w:r>
        <w:rPr>
          <w:rFonts w:hint="eastAsia" w:ascii="仿宋_GB2312" w:hAnsi="仿宋" w:eastAsia="仿宋_GB2312"/>
          <w:kern w:val="2"/>
          <w:sz w:val="28"/>
          <w:szCs w:val="28"/>
          <w:highlight w:val="none"/>
          <w:lang w:val="en-US" w:eastAsia="zh-CN" w:bidi="ar-SA"/>
        </w:rPr>
        <w:t>违反了《世界银行贷款芦山地震灾后恢复重建项目财务管理手册（城建基础设施部分）》第二十三条“会计核算要求 为了加强世界银行贷款项目的会计工作，规范项目会计核算，充分发挥资金的使用效益，项目单位应按照《中华人民共和国会计法》和国家有关法律、法规和世界银行的相关规定，以及财政部颁发的《世界银行贷款项目会计核算办法》，建立会计账册，进行会计核算，及时提供全面真实、准确完整的会计信息……本项目按照权责发生制的原则进行项目核算</w:t>
      </w:r>
      <w:r>
        <w:rPr>
          <w:rFonts w:hint="default" w:ascii="仿宋_GB2312" w:hAnsi="仿宋" w:eastAsia="仿宋_GB2312"/>
          <w:kern w:val="2"/>
          <w:sz w:val="28"/>
          <w:szCs w:val="28"/>
          <w:highlight w:val="none"/>
          <w:lang w:val="en-US" w:eastAsia="zh-CN" w:bidi="ar-SA"/>
        </w:rPr>
        <w:t>......</w:t>
      </w:r>
      <w:r>
        <w:rPr>
          <w:rFonts w:hint="eastAsia" w:ascii="仿宋_GB2312" w:hAnsi="仿宋" w:eastAsia="仿宋_GB2312"/>
          <w:kern w:val="2"/>
          <w:sz w:val="28"/>
          <w:szCs w:val="28"/>
          <w:highlight w:val="none"/>
          <w:lang w:val="en-US" w:eastAsia="zh-CN" w:bidi="ar-SA"/>
        </w:rPr>
        <w:t>”的规定。建议你办</w:t>
      </w:r>
      <w:r>
        <w:rPr>
          <w:rFonts w:hint="default" w:ascii="仿宋_GB2312" w:hAnsi="仿宋" w:eastAsia="仿宋_GB2312"/>
          <w:kern w:val="2"/>
          <w:sz w:val="28"/>
          <w:szCs w:val="28"/>
          <w:highlight w:val="none"/>
          <w:lang w:val="en-US" w:eastAsia="zh-CN" w:bidi="ar-SA"/>
        </w:rPr>
        <w:t>督促</w:t>
      </w:r>
      <w:r>
        <w:rPr>
          <w:rFonts w:hint="eastAsia" w:ascii="仿宋_GB2312" w:hAnsi="仿宋" w:eastAsia="仿宋_GB2312"/>
          <w:kern w:val="2"/>
          <w:sz w:val="28"/>
          <w:szCs w:val="28"/>
          <w:highlight w:val="none"/>
          <w:lang w:val="en-US" w:eastAsia="zh-CN" w:bidi="ar-SA"/>
        </w:rPr>
        <w:t>芦山县</w:t>
      </w:r>
      <w:r>
        <w:rPr>
          <w:rFonts w:hint="default" w:ascii="仿宋_GB2312" w:hAnsi="仿宋" w:eastAsia="仿宋_GB2312"/>
          <w:kern w:val="2"/>
          <w:sz w:val="28"/>
          <w:szCs w:val="28"/>
          <w:highlight w:val="none"/>
          <w:lang w:val="en-US" w:eastAsia="zh-CN" w:bidi="ar-SA"/>
        </w:rPr>
        <w:t>、</w:t>
      </w:r>
      <w:r>
        <w:rPr>
          <w:rFonts w:hint="eastAsia" w:ascii="仿宋_GB2312" w:hAnsi="仿宋" w:eastAsia="仿宋_GB2312"/>
          <w:kern w:val="2"/>
          <w:sz w:val="28"/>
          <w:szCs w:val="28"/>
          <w:highlight w:val="none"/>
          <w:lang w:val="en-US" w:eastAsia="zh-CN" w:bidi="ar-SA"/>
        </w:rPr>
        <w:t>雅安市名山区住房和城乡建设局进</w:t>
      </w:r>
      <w:r>
        <w:rPr>
          <w:rFonts w:hint="default" w:ascii="仿宋_GB2312" w:hAnsi="仿宋" w:eastAsia="仿宋_GB2312"/>
          <w:kern w:val="2"/>
          <w:sz w:val="28"/>
          <w:szCs w:val="28"/>
          <w:highlight w:val="none"/>
          <w:lang w:val="en-US" w:eastAsia="zh-CN" w:bidi="ar-SA"/>
        </w:rPr>
        <w:t>行纠正，严格按照规定进行会计核算，并调整有关会计账目和会计报表。</w:t>
      </w:r>
      <w:r>
        <w:rPr>
          <w:rFonts w:hint="eastAsia" w:ascii="仿宋_GB2312" w:hAnsi="仿宋_GB2312" w:eastAsia="仿宋_GB2312" w:cs="黑体"/>
          <w:color w:val="auto"/>
          <w:kern w:val="2"/>
          <w:sz w:val="28"/>
          <w:szCs w:val="28"/>
          <w:highlight w:val="none"/>
          <w:lang w:val="en-US" w:eastAsia="zh-CN" w:bidi="ar-SA"/>
        </w:rPr>
        <w:t>你办已接受审计建议。</w:t>
      </w:r>
    </w:p>
    <w:p>
      <w:pPr>
        <w:pStyle w:val="31"/>
        <w:widowControl/>
        <w:spacing w:line="360" w:lineRule="exact"/>
        <w:jc w:val="left"/>
        <w:rPr>
          <w:rFonts w:hint="eastAsia" w:ascii="仿宋_GB2312" w:hAnsi="仿宋_GB2312" w:eastAsia="仿宋_GB2312" w:cs="仿宋_GB2312"/>
          <w:color w:val="auto"/>
          <w:kern w:val="2"/>
          <w:position w:val="6"/>
          <w:sz w:val="28"/>
          <w:szCs w:val="28"/>
          <w:highlight w:val="none"/>
          <w:lang w:val="en-US" w:eastAsia="zh-CN" w:bidi="ar-SA"/>
        </w:rPr>
      </w:pPr>
      <w:r>
        <w:rPr>
          <w:rFonts w:hint="eastAsia" w:ascii="Times New Roman" w:hAnsi="Times New Roman" w:eastAsia="仿宋_GB2312" w:cs="Times New Roman"/>
          <w:b/>
          <w:bCs/>
          <w:color w:val="auto"/>
          <w:kern w:val="2"/>
          <w:position w:val="6"/>
          <w:sz w:val="28"/>
          <w:szCs w:val="28"/>
          <w:highlight w:val="none"/>
          <w:lang w:val="en-US" w:eastAsia="zh-CN" w:bidi="ar-SA"/>
        </w:rPr>
        <w:t xml:space="preserve">  </w:t>
      </w:r>
    </w:p>
    <w:p>
      <w:pPr>
        <w:pStyle w:val="31"/>
        <w:spacing w:line="400" w:lineRule="exact"/>
        <w:ind w:firstLine="562" w:firstLineChars="200"/>
        <w:rPr>
          <w:rFonts w:hint="eastAsia" w:ascii="Times New Roman" w:hAnsi="Times New Roman" w:eastAsia="宋体" w:cs="Times New Roman"/>
          <w:b/>
          <w:kern w:val="2"/>
          <w:position w:val="6"/>
          <w:sz w:val="28"/>
          <w:szCs w:val="28"/>
          <w:highlight w:val="none"/>
          <w:lang w:val="en-US" w:eastAsia="zh-CN" w:bidi="ar-SA"/>
        </w:rPr>
      </w:pPr>
      <w:r>
        <w:rPr>
          <w:rFonts w:hint="default" w:ascii="Times New Roman" w:hAnsi="Times New Roman" w:eastAsia="仿宋_GB2312" w:cs="Times New Roman"/>
          <w:b/>
          <w:bCs/>
          <w:snapToGrid w:val="0"/>
          <w:color w:val="auto"/>
          <w:kern w:val="2"/>
          <w:position w:val="6"/>
          <w:sz w:val="28"/>
          <w:szCs w:val="28"/>
          <w:highlight w:val="none"/>
          <w:lang w:val="en-US" w:eastAsia="zh-CN" w:bidi="ar-SA"/>
        </w:rPr>
        <w:t>（</w:t>
      </w:r>
      <w:r>
        <w:rPr>
          <w:rFonts w:hint="eastAsia" w:ascii="Times New Roman" w:hAnsi="Times New Roman" w:eastAsia="仿宋_GB2312" w:cs="Times New Roman"/>
          <w:b/>
          <w:bCs/>
          <w:snapToGrid w:val="0"/>
          <w:color w:val="auto"/>
          <w:kern w:val="2"/>
          <w:position w:val="6"/>
          <w:sz w:val="28"/>
          <w:szCs w:val="28"/>
          <w:highlight w:val="none"/>
          <w:lang w:val="en-US" w:eastAsia="zh-CN" w:bidi="ar-SA"/>
        </w:rPr>
        <w:t>二</w:t>
      </w:r>
      <w:r>
        <w:rPr>
          <w:rFonts w:hint="default" w:ascii="Times New Roman" w:hAnsi="Times New Roman" w:eastAsia="仿宋_GB2312" w:cs="Times New Roman"/>
          <w:b/>
          <w:bCs/>
          <w:snapToGrid w:val="0"/>
          <w:color w:val="auto"/>
          <w:kern w:val="2"/>
          <w:position w:val="6"/>
          <w:sz w:val="28"/>
          <w:szCs w:val="28"/>
          <w:highlight w:val="none"/>
          <w:lang w:val="en-US" w:eastAsia="zh-CN" w:bidi="ar-SA"/>
        </w:rPr>
        <w:t>）</w:t>
      </w:r>
      <w:r>
        <w:rPr>
          <w:rFonts w:hint="eastAsia" w:ascii="Times New Roman" w:hAnsi="Times New Roman" w:eastAsia="宋体" w:cs="Times New Roman"/>
          <w:b/>
          <w:kern w:val="2"/>
          <w:position w:val="6"/>
          <w:sz w:val="28"/>
          <w:szCs w:val="28"/>
          <w:highlight w:val="none"/>
          <w:lang w:val="en-US" w:eastAsia="zh-CN" w:bidi="ar-SA"/>
        </w:rPr>
        <w:t>上一年度审计发现问题未整改情况</w:t>
      </w:r>
    </w:p>
    <w:p>
      <w:pPr>
        <w:pStyle w:val="31"/>
        <w:keepNext w:val="0"/>
        <w:keepLines w:val="0"/>
        <w:pageBreakBefore w:val="0"/>
        <w:kinsoku/>
        <w:wordWrap/>
        <w:overflowPunct/>
        <w:topLinePunct w:val="0"/>
        <w:autoSpaceDE/>
        <w:autoSpaceDN/>
        <w:bidi w:val="0"/>
        <w:spacing w:line="400" w:lineRule="exact"/>
        <w:ind w:right="0" w:rightChars="0"/>
        <w:textAlignment w:val="auto"/>
        <w:outlineLvl w:val="9"/>
        <w:rPr>
          <w:rFonts w:hint="default" w:ascii="Times New Roman" w:hAnsi="Times New Roman" w:eastAsia="仿宋_GB2312" w:cs="Times New Roman"/>
          <w:b/>
          <w:snapToGrid w:val="0"/>
          <w:color w:val="auto"/>
          <w:kern w:val="2"/>
          <w:position w:val="6"/>
          <w:sz w:val="28"/>
          <w:szCs w:val="28"/>
          <w:highlight w:val="none"/>
          <w:lang w:val="en-US" w:eastAsia="zh-CN" w:bidi="ar-SA"/>
        </w:rPr>
      </w:pPr>
    </w:p>
    <w:p>
      <w:pPr>
        <w:spacing w:line="400" w:lineRule="exact"/>
        <w:ind w:firstLine="560" w:firstLineChars="200"/>
        <w:rPr>
          <w:rFonts w:hint="eastAsia" w:ascii="仿宋_GB2312" w:hAnsi="仿宋_GB2312" w:eastAsia="仿宋_GB2312" w:cs="仿宋_GB2312"/>
          <w:color w:val="auto"/>
          <w:kern w:val="2"/>
          <w:position w:val="6"/>
          <w:sz w:val="28"/>
          <w:szCs w:val="28"/>
          <w:highlight w:val="none"/>
          <w:lang w:val="en-US" w:eastAsia="zh-CN" w:bidi="ar-SA"/>
        </w:rPr>
      </w:pPr>
      <w:r>
        <w:rPr>
          <w:rFonts w:hint="eastAsia" w:ascii="仿宋_GB2312" w:hAnsi="仿宋_GB2312" w:eastAsia="仿宋_GB2312" w:cs="仿宋_GB2312"/>
          <w:color w:val="auto"/>
          <w:kern w:val="2"/>
          <w:position w:val="6"/>
          <w:sz w:val="28"/>
          <w:szCs w:val="28"/>
          <w:highlight w:val="none"/>
          <w:lang w:val="en-US" w:eastAsia="zh-CN" w:bidi="ar-SA"/>
        </w:rPr>
        <w:t>上一年度审计报告中披露</w:t>
      </w:r>
      <w:r>
        <w:rPr>
          <w:rFonts w:hint="default" w:ascii="仿宋_GB2312" w:hAnsi="仿宋_GB2312" w:eastAsia="仿宋_GB2312" w:cs="仿宋_GB2312"/>
          <w:color w:val="auto"/>
          <w:kern w:val="2"/>
          <w:position w:val="6"/>
          <w:sz w:val="28"/>
          <w:szCs w:val="28"/>
          <w:highlight w:val="none"/>
          <w:lang w:val="en-US" w:eastAsia="zh-CN" w:bidi="ar-SA"/>
        </w:rPr>
        <w:t>的</w:t>
      </w:r>
      <w:r>
        <w:rPr>
          <w:rFonts w:hint="eastAsia" w:ascii="仿宋_GB2312" w:hAnsi="仿宋_GB2312" w:eastAsia="仿宋_GB2312" w:cs="仿宋_GB2312"/>
          <w:color w:val="auto"/>
          <w:kern w:val="2"/>
          <w:position w:val="6"/>
          <w:sz w:val="28"/>
          <w:szCs w:val="28"/>
          <w:highlight w:val="none"/>
          <w:lang w:val="en-US" w:eastAsia="zh-CN" w:bidi="ar-SA"/>
        </w:rPr>
        <w:t>7个问题已全部整改。</w:t>
      </w:r>
    </w:p>
    <w:p>
      <w:pPr>
        <w:spacing w:line="400" w:lineRule="exact"/>
        <w:ind w:firstLine="560" w:firstLineChars="200"/>
        <w:rPr>
          <w:rFonts w:hint="eastAsia" w:ascii="仿宋_GB2312" w:hAnsi="仿宋_GB2312" w:eastAsia="仿宋_GB2312" w:cs="仿宋_GB2312"/>
          <w:color w:val="auto"/>
          <w:kern w:val="2"/>
          <w:position w:val="6"/>
          <w:sz w:val="28"/>
          <w:szCs w:val="28"/>
          <w:highlight w:val="none"/>
          <w:lang w:val="en-US" w:eastAsia="zh-CN" w:bidi="ar-SA"/>
        </w:rPr>
      </w:pPr>
    </w:p>
    <w:p>
      <w:pPr>
        <w:spacing w:line="400" w:lineRule="exact"/>
        <w:ind w:firstLine="560" w:firstLineChars="200"/>
        <w:rPr>
          <w:rFonts w:hint="eastAsia" w:ascii="仿宋_GB2312" w:hAnsi="仿宋_GB2312" w:eastAsia="仿宋_GB2312" w:cs="仿宋_GB2312"/>
          <w:color w:val="auto"/>
          <w:kern w:val="2"/>
          <w:position w:val="6"/>
          <w:sz w:val="28"/>
          <w:szCs w:val="28"/>
          <w:highlight w:val="none"/>
          <w:lang w:val="en-US" w:eastAsia="zh-CN" w:bidi="ar-SA"/>
        </w:rPr>
      </w:pPr>
    </w:p>
    <w:p>
      <w:pPr>
        <w:spacing w:line="400" w:lineRule="exact"/>
        <w:ind w:firstLine="560" w:firstLineChars="200"/>
        <w:rPr>
          <w:rFonts w:hint="eastAsia" w:ascii="仿宋_GB2312" w:hAnsi="仿宋_GB2312" w:eastAsia="仿宋_GB2312" w:cs="仿宋_GB2312"/>
          <w:color w:val="auto"/>
          <w:kern w:val="2"/>
          <w:position w:val="6"/>
          <w:sz w:val="28"/>
          <w:szCs w:val="28"/>
          <w:highlight w:val="none"/>
          <w:lang w:val="en-US" w:eastAsia="zh-CN" w:bidi="ar-SA"/>
        </w:rPr>
      </w:pPr>
    </w:p>
    <w:p>
      <w:pPr>
        <w:pStyle w:val="7"/>
        <w:ind w:left="0" w:leftChars="0" w:right="0" w:rightChars="0" w:firstLine="0" w:firstLineChars="0"/>
        <w:jc w:val="center"/>
        <w:rPr>
          <w:rFonts w:hint="eastAsia" w:ascii="Times New Roman"/>
          <w:b/>
          <w:bCs/>
          <w:snapToGrid w:val="0"/>
          <w:kern w:val="0"/>
          <w:lang w:val="en-US" w:eastAsia="zh-CN"/>
        </w:rPr>
      </w:pPr>
    </w:p>
    <w:p>
      <w:pPr>
        <w:pStyle w:val="7"/>
        <w:ind w:left="0" w:leftChars="0" w:right="0" w:rightChars="0" w:firstLine="0" w:firstLineChars="0"/>
        <w:jc w:val="center"/>
        <w:rPr>
          <w:rFonts w:hint="eastAsia" w:ascii="Times New Roman"/>
          <w:b/>
          <w:bCs/>
          <w:snapToGrid w:val="0"/>
          <w:kern w:val="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_GBK">
    <w:altName w:val="宋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38"/>
      </w:rPr>
    </w:pPr>
    <w:r>
      <w:fldChar w:fldCharType="begin"/>
    </w:r>
    <w:r>
      <w:rPr>
        <w:rStyle w:val="38"/>
      </w:rPr>
      <w:instrText xml:space="preserve">PAGE  </w:instrText>
    </w:r>
    <w:r>
      <w:fldChar w:fldCharType="separate"/>
    </w:r>
    <w:r>
      <w:rPr>
        <w:rStyle w:val="38"/>
      </w:rPr>
      <w:t>1</w:t>
    </w:r>
    <w:r>
      <w:fldChar w:fldCharType="end"/>
    </w:r>
  </w:p>
  <w:p>
    <w:pPr>
      <w:pStyle w:val="3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38"/>
      </w:rPr>
    </w:pPr>
    <w:r>
      <w:fldChar w:fldCharType="begin"/>
    </w:r>
    <w:r>
      <w:rPr>
        <w:rStyle w:val="38"/>
      </w:rPr>
      <w:instrText xml:space="preserve">PAGE  </w:instrText>
    </w:r>
    <w:r>
      <w:fldChar w:fldCharType="separate"/>
    </w:r>
    <w:r>
      <w:rPr>
        <w:rStyle w:val="38"/>
      </w:rPr>
      <w:t>21</w: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18</w:t>
    </w:r>
    <w:r>
      <w:rPr>
        <w:kern w:val="0"/>
        <w:szCs w:val="21"/>
      </w:rPr>
      <w:fldChar w:fldCharType="end"/>
    </w:r>
    <w:r>
      <w:rPr>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38"/>
      </w:rPr>
    </w:pPr>
    <w:r>
      <w:fldChar w:fldCharType="begin"/>
    </w:r>
    <w:r>
      <w:rPr>
        <w:rStyle w:val="38"/>
      </w:rPr>
      <w:instrText xml:space="preserve">PAGE  </w:instrText>
    </w:r>
    <w:r>
      <w:fldChar w:fldCharType="separate"/>
    </w:r>
    <w:r>
      <w:rPr>
        <w:rStyle w:val="38"/>
      </w:rPr>
      <w:t>21</w:t>
    </w:r>
    <w:r>
      <w:fldChar w:fldCharType="end"/>
    </w:r>
  </w:p>
  <w:p>
    <w:pPr>
      <w:pStyle w:val="3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963"/>
        </w:tabs>
        <w:ind w:left="963" w:hanging="360"/>
      </w:pPr>
      <w:rPr>
        <w:rFonts w:hint="eastAsia"/>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1"/>
      <w:numFmt w:val="decimal"/>
      <w:isLgl/>
      <w:lvlText w:val="%3.%4.%5.%6.%7.%8.%9."/>
      <w:lvlJc w:val="left"/>
      <w:pPr>
        <w:tabs>
          <w:tab w:val="left" w:pos="2441"/>
        </w:tabs>
        <w:ind w:left="2441" w:hanging="1800"/>
      </w:pPr>
      <w:rPr>
        <w:rFonts w:hint="default"/>
      </w:rPr>
    </w:lvl>
  </w:abstractNum>
  <w:abstractNum w:abstractNumId="1">
    <w:nsid w:val="00000004"/>
    <w:multiLevelType w:val="singleLevel"/>
    <w:tmpl w:val="00000004"/>
    <w:lvl w:ilvl="0" w:tentative="0">
      <w:start w:val="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17BF0"/>
    <w:rsid w:val="04884FF2"/>
    <w:rsid w:val="0D2E43D6"/>
    <w:rsid w:val="0F0D1157"/>
    <w:rsid w:val="11CE5C68"/>
    <w:rsid w:val="12575539"/>
    <w:rsid w:val="13CE4492"/>
    <w:rsid w:val="142751BB"/>
    <w:rsid w:val="14C17BF0"/>
    <w:rsid w:val="16472623"/>
    <w:rsid w:val="16B11D7A"/>
    <w:rsid w:val="17DC6104"/>
    <w:rsid w:val="18235270"/>
    <w:rsid w:val="188707F7"/>
    <w:rsid w:val="1C136D19"/>
    <w:rsid w:val="1CEE0C2A"/>
    <w:rsid w:val="1E2B7913"/>
    <w:rsid w:val="1F567D6E"/>
    <w:rsid w:val="1FA050C5"/>
    <w:rsid w:val="1FA55B76"/>
    <w:rsid w:val="1FBC1D72"/>
    <w:rsid w:val="21276FC9"/>
    <w:rsid w:val="212B783C"/>
    <w:rsid w:val="21904BF6"/>
    <w:rsid w:val="238337B9"/>
    <w:rsid w:val="244F5860"/>
    <w:rsid w:val="24C1587E"/>
    <w:rsid w:val="26667E05"/>
    <w:rsid w:val="267655E6"/>
    <w:rsid w:val="26997D70"/>
    <w:rsid w:val="2B4D3F78"/>
    <w:rsid w:val="2EE97EB8"/>
    <w:rsid w:val="33BC4EF5"/>
    <w:rsid w:val="347F4A4C"/>
    <w:rsid w:val="373E4A73"/>
    <w:rsid w:val="379E0A65"/>
    <w:rsid w:val="383734D8"/>
    <w:rsid w:val="3AFD1087"/>
    <w:rsid w:val="3B9725B2"/>
    <w:rsid w:val="3C1B1F8D"/>
    <w:rsid w:val="3DF54511"/>
    <w:rsid w:val="3FCC02A6"/>
    <w:rsid w:val="40424FFF"/>
    <w:rsid w:val="413E5128"/>
    <w:rsid w:val="42041621"/>
    <w:rsid w:val="422E1E58"/>
    <w:rsid w:val="484756C1"/>
    <w:rsid w:val="485823E9"/>
    <w:rsid w:val="48681CC2"/>
    <w:rsid w:val="4B603035"/>
    <w:rsid w:val="4C0616CE"/>
    <w:rsid w:val="4D3D62A9"/>
    <w:rsid w:val="4E524BF9"/>
    <w:rsid w:val="4E7D0FBF"/>
    <w:rsid w:val="4ECB27EC"/>
    <w:rsid w:val="54062A91"/>
    <w:rsid w:val="548D4512"/>
    <w:rsid w:val="5678430B"/>
    <w:rsid w:val="568A6005"/>
    <w:rsid w:val="56FE0CA4"/>
    <w:rsid w:val="58F438A7"/>
    <w:rsid w:val="59D34705"/>
    <w:rsid w:val="5B560BCC"/>
    <w:rsid w:val="5C196854"/>
    <w:rsid w:val="5C414B00"/>
    <w:rsid w:val="61B50DA0"/>
    <w:rsid w:val="63462E02"/>
    <w:rsid w:val="639707CA"/>
    <w:rsid w:val="640D62B1"/>
    <w:rsid w:val="66027456"/>
    <w:rsid w:val="66D56051"/>
    <w:rsid w:val="6A0C40EE"/>
    <w:rsid w:val="6C9F06C0"/>
    <w:rsid w:val="70131694"/>
    <w:rsid w:val="7062275B"/>
    <w:rsid w:val="71423D5C"/>
    <w:rsid w:val="720C5D6F"/>
    <w:rsid w:val="729239BE"/>
    <w:rsid w:val="72C376A6"/>
    <w:rsid w:val="74A86F88"/>
    <w:rsid w:val="76502271"/>
    <w:rsid w:val="7CAB68D6"/>
    <w:rsid w:val="7DC21B5E"/>
    <w:rsid w:val="7EB3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link w:val="4"/>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4">
    <w:name w:val="Char1"/>
    <w:basedOn w:val="5"/>
    <w:link w:val="3"/>
    <w:qFormat/>
    <w:uiPriority w:val="0"/>
    <w:pPr>
      <w:widowControl/>
      <w:spacing w:after="160" w:afterLines="0" w:line="240" w:lineRule="exact"/>
      <w:jc w:val="left"/>
    </w:p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rPr>
  </w:style>
  <w:style w:type="paragraph" w:customStyle="1" w:styleId="7">
    <w:name w:val="正文内容-中"/>
    <w:basedOn w:val="8"/>
    <w:qFormat/>
    <w:uiPriority w:val="0"/>
    <w:pPr>
      <w:adjustRightInd w:val="0"/>
      <w:snapToGrid w:val="0"/>
      <w:spacing w:line="400" w:lineRule="exact"/>
      <w:ind w:firstLine="560" w:firstLineChars="200"/>
    </w:pPr>
    <w:rPr>
      <w:rFonts w:ascii="仿宋_GB2312" w:eastAsia="仿宋_GB2312"/>
      <w:kern w:val="2"/>
      <w:sz w:val="28"/>
      <w:szCs w:val="28"/>
      <w:lang w:val="en-US" w:eastAsia="zh-CN" w:bidi="ar-SA"/>
    </w:rPr>
  </w:style>
  <w:style w:type="paragraph" w:customStyle="1" w:styleId="8">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
    <w:name w:val="目录标题1-中"/>
    <w:basedOn w:val="10"/>
    <w:qFormat/>
    <w:uiPriority w:val="0"/>
    <w:pPr>
      <w:snapToGrid w:val="0"/>
      <w:spacing w:line="400" w:lineRule="exact"/>
      <w:jc w:val="left"/>
    </w:pPr>
    <w:rPr>
      <w:kern w:val="0"/>
      <w:sz w:val="28"/>
      <w:szCs w:val="28"/>
    </w:rPr>
  </w:style>
  <w:style w:type="paragraph" w:customStyle="1" w:styleId="10">
    <w:name w:val="标题 1 New"/>
    <w:basedOn w:val="8"/>
    <w:next w:val="8"/>
    <w:qFormat/>
    <w:uiPriority w:val="0"/>
    <w:pPr>
      <w:keepNext/>
      <w:spacing w:line="420" w:lineRule="exact"/>
      <w:jc w:val="center"/>
      <w:outlineLvl w:val="0"/>
    </w:pPr>
    <w:rPr>
      <w:rFonts w:eastAsia="仿宋_GB2312"/>
      <w:b/>
      <w:bCs/>
      <w:sz w:val="32"/>
      <w:szCs w:val="32"/>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
    <w:name w:val="正文标题-中"/>
    <w:basedOn w:val="13"/>
    <w:qFormat/>
    <w:uiPriority w:val="0"/>
    <w:pPr>
      <w:snapToGrid w:val="0"/>
      <w:spacing w:line="400" w:lineRule="exact"/>
      <w:jc w:val="center"/>
    </w:pPr>
    <w:rPr>
      <w:rFonts w:eastAsia="仿宋_GB2312"/>
      <w:b/>
      <w:kern w:val="2"/>
      <w:sz w:val="32"/>
      <w:szCs w:val="32"/>
      <w:lang w:val="en-GB" w:eastAsia="zh-CN" w:bidi="ar-SA"/>
    </w:rPr>
  </w:style>
  <w:style w:type="paragraph" w:customStyle="1" w:styleId="13">
    <w:name w:val="正文文本 New"/>
    <w:basedOn w:val="8"/>
    <w:qFormat/>
    <w:uiPriority w:val="0"/>
    <w:pPr>
      <w:widowControl/>
      <w:jc w:val="left"/>
    </w:pPr>
    <w:rPr>
      <w:rFonts w:eastAsia="宋体"/>
      <w:sz w:val="24"/>
      <w:szCs w:val="24"/>
      <w:lang w:val="en-US" w:eastAsia="zh-CN" w:bidi="ar-SA"/>
    </w:rPr>
  </w:style>
  <w:style w:type="paragraph" w:customStyle="1" w:styleId="14">
    <w:name w:val="审报正文内容-中"/>
    <w:basedOn w:val="8"/>
    <w:qFormat/>
    <w:uiPriority w:val="0"/>
    <w:pPr>
      <w:adjustRightInd w:val="0"/>
      <w:snapToGrid w:val="0"/>
      <w:spacing w:line="400" w:lineRule="exact"/>
      <w:ind w:firstLine="561"/>
      <w:jc w:val="left"/>
    </w:pPr>
    <w:rPr>
      <w:rFonts w:eastAsia="仿宋_GB2312"/>
      <w:kern w:val="2"/>
      <w:sz w:val="28"/>
      <w:szCs w:val="28"/>
      <w:lang w:val="en-US" w:eastAsia="zh-CN" w:bidi="ar-SA"/>
    </w:rPr>
  </w:style>
  <w:style w:type="paragraph" w:customStyle="1" w:styleId="15">
    <w:name w:val="正文内容-中 New New New New New New New New New"/>
    <w:basedOn w:val="11"/>
    <w:qFormat/>
    <w:uiPriority w:val="0"/>
    <w:pPr>
      <w:adjustRightInd w:val="0"/>
      <w:snapToGrid w:val="0"/>
      <w:spacing w:line="400" w:lineRule="exact"/>
      <w:ind w:firstLine="560" w:firstLineChars="200"/>
    </w:pPr>
    <w:rPr>
      <w:rFonts w:ascii="仿宋_GB2312" w:eastAsia="仿宋_GB2312"/>
      <w:sz w:val="28"/>
      <w:szCs w:val="28"/>
    </w:rPr>
  </w:style>
  <w:style w:type="paragraph" w:customStyle="1" w:styleId="16">
    <w:name w:val="审报正文联系方式-中"/>
    <w:basedOn w:val="8"/>
    <w:qFormat/>
    <w:uiPriority w:val="0"/>
    <w:pPr>
      <w:snapToGrid w:val="0"/>
      <w:spacing w:line="400" w:lineRule="exact"/>
      <w:jc w:val="left"/>
    </w:pPr>
    <w:rPr>
      <w:rFonts w:ascii="仿宋_GB2312" w:eastAsia="仿宋_GB2312"/>
      <w:sz w:val="28"/>
      <w:szCs w:val="28"/>
    </w:rPr>
  </w:style>
  <w:style w:type="paragraph" w:customStyle="1" w:styleId="17">
    <w:name w:val="审报目录标题1-中"/>
    <w:basedOn w:val="18"/>
    <w:qFormat/>
    <w:uiPriority w:val="0"/>
    <w:pPr>
      <w:snapToGrid w:val="0"/>
      <w:spacing w:line="400" w:lineRule="exact"/>
      <w:jc w:val="left"/>
    </w:pPr>
    <w:rPr>
      <w:kern w:val="0"/>
      <w:sz w:val="28"/>
      <w:szCs w:val="28"/>
    </w:rPr>
  </w:style>
  <w:style w:type="paragraph" w:customStyle="1" w:styleId="18">
    <w:name w:val="标题 1 New New"/>
    <w:basedOn w:val="19"/>
    <w:next w:val="19"/>
    <w:qFormat/>
    <w:uiPriority w:val="0"/>
    <w:pPr>
      <w:keepNext/>
      <w:spacing w:line="420" w:lineRule="exact"/>
      <w:jc w:val="center"/>
      <w:outlineLvl w:val="0"/>
    </w:pPr>
    <w:rPr>
      <w:rFonts w:eastAsia="仿宋_GB2312"/>
      <w:b/>
      <w:bCs/>
      <w:sz w:val="32"/>
      <w:szCs w:val="32"/>
    </w:rPr>
  </w:style>
  <w:style w:type="paragraph" w:customStyle="1" w:styleId="19">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审报目录标题2-中"/>
    <w:basedOn w:val="21"/>
    <w:qFormat/>
    <w:uiPriority w:val="0"/>
    <w:pPr>
      <w:snapToGrid w:val="0"/>
      <w:spacing w:line="400" w:lineRule="exact"/>
      <w:jc w:val="left"/>
    </w:pPr>
    <w:rPr>
      <w:rFonts w:ascii="楷体_GB2312" w:eastAsia="仿宋_GB2312"/>
      <w:b w:val="0"/>
      <w:bCs w:val="0"/>
      <w:kern w:val="2"/>
      <w:sz w:val="28"/>
      <w:szCs w:val="30"/>
      <w:lang w:val="en-US" w:eastAsia="zh-CN" w:bidi="ar-SA"/>
    </w:rPr>
  </w:style>
  <w:style w:type="paragraph" w:customStyle="1" w:styleId="21">
    <w:name w:val="标题 2 New"/>
    <w:basedOn w:val="19"/>
    <w:next w:val="22"/>
    <w:qFormat/>
    <w:uiPriority w:val="0"/>
    <w:pPr>
      <w:keepNext/>
      <w:autoSpaceDE w:val="0"/>
      <w:autoSpaceDN w:val="0"/>
      <w:adjustRightInd w:val="0"/>
      <w:jc w:val="center"/>
      <w:outlineLvl w:val="1"/>
    </w:pPr>
    <w:rPr>
      <w:rFonts w:eastAsia="仿宋_GB2312"/>
      <w:b/>
      <w:bCs/>
      <w:sz w:val="28"/>
      <w:szCs w:val="28"/>
    </w:rPr>
  </w:style>
  <w:style w:type="paragraph" w:customStyle="1" w:styleId="22">
    <w:name w:val="正文缩进 New"/>
    <w:basedOn w:val="19"/>
    <w:qFormat/>
    <w:uiPriority w:val="0"/>
    <w:pPr>
      <w:ind w:firstLine="420"/>
    </w:pPr>
    <w:rPr>
      <w:szCs w:val="21"/>
    </w:rPr>
  </w:style>
  <w:style w:type="paragraph" w:customStyle="1" w:styleId="23">
    <w:name w:val="审报目录标题2-英"/>
    <w:basedOn w:val="21"/>
    <w:qFormat/>
    <w:uiPriority w:val="0"/>
    <w:pPr>
      <w:snapToGrid w:val="0"/>
      <w:spacing w:line="400" w:lineRule="exact"/>
      <w:jc w:val="left"/>
    </w:pPr>
    <w:rPr>
      <w:rFonts w:eastAsia="Times New Roman" w:cs="宋体"/>
      <w:color w:val="000000"/>
      <w:szCs w:val="30"/>
      <w:lang w:val="en-GB"/>
    </w:rPr>
  </w:style>
  <w:style w:type="paragraph" w:customStyle="1" w:styleId="2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
    <w:name w:val="审报正文标题-中"/>
    <w:basedOn w:val="26"/>
    <w:qFormat/>
    <w:uiPriority w:val="0"/>
    <w:pPr>
      <w:snapToGrid w:val="0"/>
      <w:spacing w:line="400" w:lineRule="exact"/>
      <w:jc w:val="center"/>
    </w:pPr>
    <w:rPr>
      <w:rFonts w:eastAsia="仿宋_GB2312"/>
      <w:b/>
      <w:kern w:val="2"/>
      <w:sz w:val="32"/>
      <w:szCs w:val="32"/>
      <w:lang w:val="en-GB" w:eastAsia="zh-CN" w:bidi="ar-SA"/>
    </w:rPr>
  </w:style>
  <w:style w:type="paragraph" w:customStyle="1" w:styleId="26">
    <w:name w:val="正文文本 New New"/>
    <w:basedOn w:val="19"/>
    <w:qFormat/>
    <w:uiPriority w:val="0"/>
    <w:pPr>
      <w:widowControl/>
      <w:jc w:val="left"/>
    </w:pPr>
    <w:rPr>
      <w:rFonts w:eastAsia="宋体"/>
      <w:sz w:val="24"/>
      <w:szCs w:val="24"/>
      <w:lang w:val="en-US" w:eastAsia="zh-CN" w:bidi="ar-SA"/>
    </w:rPr>
  </w:style>
  <w:style w:type="paragraph" w:customStyle="1" w:styleId="27">
    <w:name w:val="审报正文标题-英"/>
    <w:basedOn w:val="19"/>
    <w:qFormat/>
    <w:uiPriority w:val="0"/>
    <w:pPr>
      <w:widowControl/>
      <w:spacing w:line="400" w:lineRule="exact"/>
      <w:jc w:val="center"/>
    </w:pPr>
    <w:rPr>
      <w:b/>
      <w:bCs/>
      <w:sz w:val="32"/>
      <w:szCs w:val="32"/>
      <w:lang w:val="en-US" w:eastAsia="zh-CN" w:bidi="ar-SA"/>
    </w:rPr>
  </w:style>
  <w:style w:type="paragraph" w:customStyle="1" w:styleId="28">
    <w:name w:val="审报报表审计期间"/>
    <w:basedOn w:val="19"/>
    <w:qFormat/>
    <w:uiPriority w:val="0"/>
    <w:pPr>
      <w:snapToGrid w:val="0"/>
      <w:spacing w:line="240" w:lineRule="atLeast"/>
      <w:jc w:val="center"/>
    </w:pPr>
    <w:rPr>
      <w:rFonts w:eastAsia="仿宋_GB2312"/>
      <w:sz w:val="21"/>
      <w:szCs w:val="28"/>
      <w:lang w:val="en-GB" w:eastAsia="zh-CN" w:bidi="ar-SA"/>
    </w:rPr>
  </w:style>
  <w:style w:type="paragraph" w:customStyle="1" w:styleId="29">
    <w:name w:val="审报报表数字"/>
    <w:basedOn w:val="19"/>
    <w:qFormat/>
    <w:uiPriority w:val="0"/>
    <w:pPr>
      <w:autoSpaceDE w:val="0"/>
      <w:autoSpaceDN w:val="0"/>
      <w:adjustRightInd w:val="0"/>
      <w:snapToGrid w:val="0"/>
      <w:spacing w:line="240" w:lineRule="atLeast"/>
      <w:jc w:val="right"/>
    </w:pPr>
    <w:rPr>
      <w:bCs/>
      <w:color w:val="000000"/>
      <w:sz w:val="15"/>
      <w:szCs w:val="15"/>
      <w:lang w:val="en-US" w:eastAsia="zh-CN" w:bidi="ar-SA"/>
    </w:rPr>
  </w:style>
  <w:style w:type="paragraph" w:customStyle="1" w:styleId="30">
    <w:name w:val="目录标题2-中"/>
    <w:basedOn w:val="21"/>
    <w:qFormat/>
    <w:uiPriority w:val="0"/>
    <w:pPr>
      <w:snapToGrid w:val="0"/>
      <w:spacing w:line="400" w:lineRule="exact"/>
      <w:jc w:val="left"/>
    </w:pPr>
    <w:rPr>
      <w:rFonts w:ascii="楷体_GB2312"/>
      <w:szCs w:val="30"/>
    </w:rPr>
  </w:style>
  <w:style w:type="paragraph" w:customStyle="1" w:styleId="3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新宋体" w:cs="Times New Roman"/>
      <w:kern w:val="2"/>
      <w:position w:val="6"/>
      <w:sz w:val="28"/>
      <w:lang w:val="en-US" w:eastAsia="zh-CN" w:bidi="ar-SA"/>
    </w:rPr>
  </w:style>
  <w:style w:type="paragraph" w:customStyle="1" w:styleId="32">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3">
    <w:name w:val="p21"/>
    <w:basedOn w:val="34"/>
    <w:qFormat/>
    <w:uiPriority w:val="0"/>
    <w:pPr>
      <w:widowControl/>
    </w:pPr>
    <w:rPr>
      <w:rFonts w:ascii="宋体" w:hAnsi="宋体" w:cs="宋体"/>
      <w:kern w:val="0"/>
      <w:szCs w:val="21"/>
    </w:rPr>
  </w:style>
  <w:style w:type="paragraph" w:customStyle="1" w:styleId="34">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37">
    <w:name w:val="页脚 New New New New New New New New New New New New New New New New New New New New New New New New New New New New New New New New New New New New New New New New New New New New New"/>
    <w:basedOn w:val="24"/>
    <w:qFormat/>
    <w:uiPriority w:val="0"/>
    <w:pPr>
      <w:tabs>
        <w:tab w:val="center" w:pos="4153"/>
        <w:tab w:val="right" w:pos="8306"/>
      </w:tabs>
      <w:snapToGrid w:val="0"/>
      <w:jc w:val="left"/>
    </w:pPr>
    <w:rPr>
      <w:rFonts w:eastAsia="宋体"/>
      <w:kern w:val="2"/>
      <w:sz w:val="18"/>
      <w:lang w:val="en-US" w:eastAsia="zh-CN" w:bidi="ar-SA"/>
    </w:rPr>
  </w:style>
  <w:style w:type="character" w:customStyle="1" w:styleId="38">
    <w:name w:val="页码 New New New New New New New New New New New New New New New New New New New New New New New New"/>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2020-08-27T07:52:00Z</dcterms:created>
  <dc:creator>任梓熙</dc:creator>
  <cp:lastModifiedBy>任梓熙</cp:lastModifiedBy>
  <dcterms:modified xsi:type="dcterms:W3CDTF">2020-08-27T08:06:28Z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