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rightChars="0" w:firstLine="0" w:firstLineChars="0"/>
        <w:jc w:val="center"/>
        <w:rPr>
          <w:rFonts w:hint="eastAsia" w:ascii="方正小标宋简体" w:hAnsi="方正小标宋简体" w:eastAsia="方正小标宋简体" w:cs="方正小标宋简体"/>
          <w:sz w:val="44"/>
          <w:szCs w:val="44"/>
          <w:lang w:val="en-US" w:eastAsia="zh-CN"/>
        </w:rPr>
      </w:pPr>
      <w:bookmarkStart w:id="46" w:name="_GoBack"/>
      <w:r>
        <w:rPr>
          <w:rFonts w:hint="eastAsia" w:ascii="方正小标宋简体" w:hAnsi="方正小标宋简体" w:eastAsia="方正小标宋简体" w:cs="方正小标宋简体"/>
          <w:sz w:val="44"/>
          <w:szCs w:val="44"/>
          <w:lang w:val="en-US" w:eastAsia="zh-CN"/>
        </w:rPr>
        <w:t>世界银行贷款川渝合作(广安)示范区基础设施建设项目审计结果</w:t>
      </w:r>
    </w:p>
    <w:bookmarkEnd w:id="46"/>
    <w:p>
      <w:pPr>
        <w:pStyle w:val="7"/>
        <w:ind w:left="0" w:leftChars="0" w:right="0" w:rightChars="0" w:firstLine="0" w:firstLineChars="0"/>
        <w:jc w:val="center"/>
        <w:rPr>
          <w:rFonts w:hint="eastAsia" w:ascii="Times New Roman"/>
          <w:b/>
          <w:bCs/>
          <w:snapToGrid w:val="0"/>
          <w:kern w:val="0"/>
          <w:lang w:val="en-US" w:eastAsia="zh-CN"/>
        </w:rPr>
      </w:pPr>
    </w:p>
    <w:p>
      <w:pPr>
        <w:pStyle w:val="9"/>
        <w:rPr>
          <w:rFonts w:ascii="黑体" w:hAnsi="黑体" w:eastAsia="黑体"/>
          <w:b w:val="0"/>
          <w:sz w:val="28"/>
          <w:szCs w:val="32"/>
        </w:rPr>
      </w:pPr>
      <w:r>
        <w:rPr>
          <w:rFonts w:hint="eastAsia" w:ascii="仿宋_GB2312" w:hAnsi="仿宋_GB2312" w:eastAsia="仿宋_GB2312"/>
          <w:b/>
          <w:bCs/>
          <w:sz w:val="28"/>
          <w:szCs w:val="32"/>
        </w:rPr>
        <w:t>一、审计师意见</w:t>
      </w:r>
    </w:p>
    <w:p>
      <w:pPr>
        <w:pStyle w:val="10"/>
        <w:tabs>
          <w:tab w:val="left" w:pos="40"/>
        </w:tabs>
        <w:adjustRightInd w:val="0"/>
        <w:snapToGrid w:val="0"/>
        <w:spacing w:line="380" w:lineRule="exact"/>
        <w:rPr>
          <w:rFonts w:eastAsia="仿宋_GB2312"/>
          <w:sz w:val="28"/>
          <w:szCs w:val="28"/>
        </w:rPr>
      </w:pPr>
    </w:p>
    <w:p>
      <w:pPr>
        <w:pStyle w:val="12"/>
        <w:adjustRightInd w:val="0"/>
        <w:spacing w:line="380" w:lineRule="exact"/>
        <w:rPr>
          <w:kern w:val="2"/>
          <w:lang w:eastAsia="zh-CN"/>
        </w:rPr>
      </w:pPr>
      <w:r>
        <w:rPr>
          <w:rFonts w:hint="eastAsia"/>
          <w:kern w:val="2"/>
          <w:lang w:eastAsia="zh-CN"/>
        </w:rPr>
        <w:t>审计师意见</w:t>
      </w:r>
    </w:p>
    <w:p>
      <w:pPr>
        <w:pStyle w:val="10"/>
        <w:tabs>
          <w:tab w:val="left" w:pos="40"/>
        </w:tabs>
        <w:adjustRightInd w:val="0"/>
        <w:snapToGrid w:val="0"/>
        <w:spacing w:line="380" w:lineRule="exact"/>
        <w:ind w:left="45"/>
        <w:jc w:val="center"/>
        <w:rPr>
          <w:rFonts w:ascii="仿宋_GB2312" w:eastAsia="仿宋_GB2312"/>
          <w:b/>
          <w:sz w:val="32"/>
          <w:szCs w:val="32"/>
        </w:rPr>
      </w:pPr>
    </w:p>
    <w:p>
      <w:pPr>
        <w:pStyle w:val="13"/>
        <w:ind w:firstLine="0" w:firstLineChars="0"/>
        <w:rPr>
          <w:rFonts w:ascii="Times New Roman" w:hAnsi="Times New Roman" w:eastAsia="仿宋_GB2312" w:cs="Times New Roman"/>
          <w:kern w:val="2"/>
          <w:sz w:val="28"/>
          <w:szCs w:val="28"/>
          <w:lang w:val="en-US" w:eastAsia="zh-CN"/>
        </w:rPr>
      </w:pPr>
      <w:r>
        <w:rPr>
          <w:rFonts w:hint="eastAsia" w:ascii="Times New Roman" w:cs="Times New Roman"/>
          <w:kern w:val="2"/>
          <w:sz w:val="28"/>
          <w:szCs w:val="28"/>
          <w:lang w:val="en-US" w:eastAsia="zh-CN"/>
        </w:rPr>
        <w:t>世行贷款广安项目领导小组办公室</w:t>
      </w:r>
      <w:r>
        <w:rPr>
          <w:rFonts w:hint="eastAsia" w:ascii="Times New Roman" w:hAnsi="Times New Roman" w:eastAsia="仿宋_GB2312" w:cs="Times New Roman"/>
          <w:kern w:val="2"/>
          <w:sz w:val="28"/>
          <w:szCs w:val="28"/>
          <w:lang w:val="en-US" w:eastAsia="zh-CN"/>
        </w:rPr>
        <w:t>：</w:t>
      </w:r>
    </w:p>
    <w:p>
      <w:pPr>
        <w:pStyle w:val="13"/>
        <w:spacing w:line="380" w:lineRule="exact"/>
        <w:ind w:firstLine="0" w:firstLineChars="0"/>
        <w:rPr>
          <w:rFonts w:ascii="Times New Roman"/>
          <w:kern w:val="2"/>
          <w:lang w:val="en-US" w:eastAsia="zh-CN"/>
        </w:rPr>
      </w:pPr>
    </w:p>
    <w:p>
      <w:pPr>
        <w:pStyle w:val="13"/>
        <w:spacing w:line="380" w:lineRule="exact"/>
        <w:rPr>
          <w:kern w:val="2"/>
          <w:lang w:val="en-US" w:eastAsia="zh-CN"/>
        </w:rPr>
      </w:pPr>
      <w:r>
        <w:rPr>
          <w:rFonts w:hint="eastAsia"/>
          <w:kern w:val="2"/>
          <w:lang w:val="en-US" w:eastAsia="zh-CN"/>
        </w:rPr>
        <w:t>我们审计了世界银行贷款川渝合作(广安)示范区基础设施建设项目2019年12月31日的资金平衡表及截至该日同年度的项目进度表、贷款协定执行情况表和指定账户报表等特定目的财务报表及财务报表附注。</w:t>
      </w:r>
    </w:p>
    <w:p>
      <w:pPr>
        <w:pStyle w:val="13"/>
        <w:spacing w:line="380" w:lineRule="exact"/>
        <w:ind w:firstLine="640"/>
        <w:jc w:val="center"/>
        <w:rPr>
          <w:kern w:val="2"/>
          <w:sz w:val="32"/>
          <w:szCs w:val="32"/>
          <w:lang w:val="en-US" w:eastAsia="zh-CN"/>
        </w:rPr>
      </w:pPr>
    </w:p>
    <w:p>
      <w:pPr>
        <w:pStyle w:val="14"/>
        <w:spacing w:line="380" w:lineRule="exact"/>
        <w:rPr>
          <w:rFonts w:eastAsia="宋体"/>
          <w:b/>
          <w:kern w:val="2"/>
          <w:lang w:val="en-US" w:eastAsia="zh-CN"/>
        </w:rPr>
      </w:pPr>
      <w:r>
        <w:rPr>
          <w:rFonts w:hint="eastAsia" w:eastAsia="宋体"/>
          <w:b/>
          <w:kern w:val="2"/>
          <w:lang w:val="en-US" w:eastAsia="zh-CN"/>
        </w:rPr>
        <w:t>（一）项目执行单位及四川省财政厅对财务报表的责任</w:t>
      </w:r>
    </w:p>
    <w:p>
      <w:pPr>
        <w:pStyle w:val="14"/>
        <w:spacing w:line="380" w:lineRule="exact"/>
        <w:rPr>
          <w:rFonts w:ascii="仿宋_GB2312"/>
          <w:kern w:val="2"/>
          <w:sz w:val="32"/>
          <w:szCs w:val="32"/>
          <w:lang w:val="en-US" w:eastAsia="zh-CN"/>
        </w:rPr>
      </w:pPr>
    </w:p>
    <w:p>
      <w:pPr>
        <w:pStyle w:val="13"/>
        <w:spacing w:line="380" w:lineRule="exact"/>
        <w:rPr>
          <w:bCs/>
          <w:kern w:val="2"/>
          <w:lang w:val="en-US" w:eastAsia="zh-CN"/>
        </w:rPr>
      </w:pPr>
      <w:r>
        <w:rPr>
          <w:rFonts w:hint="eastAsia"/>
          <w:bCs/>
          <w:kern w:val="2"/>
          <w:lang w:val="en-US" w:eastAsia="zh-CN"/>
        </w:rPr>
        <w:t>编制上述财务报表中的资金平衡表、项目进度表及贷款协定执行情况表是你办的责任，编制指定账户报表是四川省财政厅的责任，这种责任包括：</w:t>
      </w:r>
    </w:p>
    <w:p>
      <w:pPr>
        <w:pStyle w:val="13"/>
        <w:spacing w:line="380" w:lineRule="exact"/>
        <w:rPr>
          <w:bCs/>
          <w:kern w:val="2"/>
          <w:lang w:val="en-US" w:eastAsia="zh-CN"/>
        </w:rPr>
      </w:pPr>
      <w:r>
        <w:rPr>
          <w:rFonts w:hint="eastAsia"/>
          <w:bCs/>
          <w:kern w:val="2"/>
          <w:lang w:val="en-US" w:eastAsia="zh-CN"/>
        </w:rPr>
        <w:t>1.按照中国的会计准则、会计制度和本项目贷款协定的要求编制项目财务报表，并使其实现公允反映；</w:t>
      </w:r>
    </w:p>
    <w:p>
      <w:pPr>
        <w:pStyle w:val="13"/>
        <w:spacing w:line="380" w:lineRule="exact"/>
        <w:rPr>
          <w:bCs/>
          <w:kern w:val="2"/>
          <w:lang w:val="en-US" w:eastAsia="zh-CN"/>
        </w:rPr>
      </w:pPr>
      <w:r>
        <w:rPr>
          <w:rFonts w:hint="eastAsia"/>
          <w:bCs/>
          <w:kern w:val="2"/>
          <w:lang w:val="en-US" w:eastAsia="zh-CN"/>
        </w:rPr>
        <w:t>2.设计、执行和维护必要的内部控制，以使项目财务报表不存在由于舞弊或错误而导致的重大错报。</w:t>
      </w:r>
    </w:p>
    <w:p>
      <w:pPr>
        <w:pStyle w:val="14"/>
        <w:spacing w:line="380" w:lineRule="exact"/>
        <w:rPr>
          <w:rFonts w:ascii="仿宋_GB2312"/>
          <w:kern w:val="2"/>
          <w:sz w:val="32"/>
          <w:szCs w:val="32"/>
          <w:lang w:val="en-US" w:eastAsia="zh-CN"/>
        </w:rPr>
      </w:pPr>
    </w:p>
    <w:p>
      <w:pPr>
        <w:pStyle w:val="14"/>
        <w:spacing w:line="380" w:lineRule="exact"/>
        <w:rPr>
          <w:rFonts w:eastAsia="宋体"/>
          <w:b/>
          <w:kern w:val="2"/>
          <w:lang w:val="en-US" w:eastAsia="zh-CN"/>
        </w:rPr>
      </w:pPr>
      <w:r>
        <w:rPr>
          <w:rFonts w:hint="eastAsia" w:eastAsia="宋体"/>
          <w:b/>
          <w:kern w:val="2"/>
          <w:lang w:val="en-US" w:eastAsia="zh-CN"/>
        </w:rPr>
        <w:t>（二）审计责任</w:t>
      </w:r>
    </w:p>
    <w:p>
      <w:pPr>
        <w:pStyle w:val="14"/>
        <w:spacing w:line="380" w:lineRule="exact"/>
        <w:rPr>
          <w:rFonts w:eastAsia="宋体"/>
          <w:b/>
          <w:kern w:val="2"/>
          <w:lang w:val="en-US" w:eastAsia="zh-CN"/>
        </w:rPr>
      </w:pPr>
    </w:p>
    <w:p>
      <w:pPr>
        <w:pStyle w:val="13"/>
        <w:spacing w:line="380" w:lineRule="exact"/>
        <w:rPr>
          <w:bCs/>
          <w:kern w:val="2"/>
          <w:lang w:val="en-US" w:eastAsia="zh-CN"/>
        </w:rPr>
      </w:pPr>
      <w:r>
        <w:rPr>
          <w:rFonts w:hint="eastAsia"/>
          <w:bCs/>
          <w:kern w:val="2"/>
          <w:lang w:val="en-US" w:eastAsia="zh-CN"/>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3"/>
        <w:spacing w:line="380" w:lineRule="exact"/>
        <w:rPr>
          <w:bCs/>
          <w:kern w:val="2"/>
          <w:lang w:val="en-US" w:eastAsia="zh-CN"/>
        </w:rPr>
      </w:pPr>
      <w:r>
        <w:rPr>
          <w:rFonts w:hint="eastAsia"/>
          <w:bCs/>
          <w:kern w:val="2"/>
          <w:lang w:val="en-US" w:eastAsia="zh-CN"/>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3"/>
        <w:spacing w:line="380" w:lineRule="exact"/>
        <w:rPr>
          <w:bCs/>
          <w:kern w:val="2"/>
          <w:lang w:val="en-US" w:eastAsia="zh-CN"/>
        </w:rPr>
      </w:pPr>
      <w:r>
        <w:rPr>
          <w:rFonts w:hint="eastAsia"/>
          <w:bCs/>
          <w:kern w:val="2"/>
          <w:lang w:val="en-US" w:eastAsia="zh-CN"/>
        </w:rPr>
        <w:t>我们相信，我们获取的审计证据是适当的、充分的，为发表审计意见提供了基础。</w:t>
      </w:r>
    </w:p>
    <w:p>
      <w:pPr>
        <w:pStyle w:val="14"/>
        <w:spacing w:line="380" w:lineRule="exact"/>
        <w:rPr>
          <w:rFonts w:ascii="仿宋_GB2312"/>
          <w:kern w:val="2"/>
          <w:sz w:val="32"/>
          <w:szCs w:val="32"/>
          <w:lang w:val="en-US" w:eastAsia="zh-CN"/>
        </w:rPr>
      </w:pPr>
    </w:p>
    <w:p>
      <w:pPr>
        <w:pStyle w:val="10"/>
        <w:adjustRightInd w:val="0"/>
        <w:snapToGrid w:val="0"/>
        <w:spacing w:line="380" w:lineRule="exact"/>
        <w:ind w:firstLine="560" w:firstLineChars="200"/>
        <w:rPr>
          <w:b/>
          <w:sz w:val="28"/>
          <w:szCs w:val="28"/>
        </w:rPr>
      </w:pPr>
      <w:r>
        <w:rPr>
          <w:rFonts w:hint="eastAsia"/>
          <w:b/>
          <w:sz w:val="28"/>
          <w:szCs w:val="28"/>
        </w:rPr>
        <w:t>（三）审计意见</w:t>
      </w:r>
    </w:p>
    <w:p>
      <w:pPr>
        <w:pStyle w:val="10"/>
        <w:adjustRightInd w:val="0"/>
        <w:snapToGrid w:val="0"/>
        <w:spacing w:line="380" w:lineRule="exact"/>
        <w:ind w:firstLine="560" w:firstLineChars="200"/>
        <w:rPr>
          <w:b/>
          <w:sz w:val="28"/>
          <w:szCs w:val="28"/>
        </w:rPr>
      </w:pPr>
    </w:p>
    <w:p>
      <w:pPr>
        <w:pStyle w:val="13"/>
        <w:spacing w:line="380" w:lineRule="exact"/>
        <w:rPr>
          <w:bCs/>
          <w:kern w:val="2"/>
          <w:lang w:val="en-US" w:eastAsia="zh-CN"/>
        </w:rPr>
      </w:pPr>
      <w:r>
        <w:rPr>
          <w:rFonts w:hint="eastAsia"/>
          <w:bCs/>
          <w:kern w:val="2"/>
          <w:lang w:val="en-US" w:eastAsia="zh-CN"/>
        </w:rPr>
        <w:t>我们认为，第一段所列财务报表在所有重大方面按照中国的会计准则、会计制度和本项目贷款协定的要求编制，公允反映了世界银行贷款川渝合作(广安)示范区基础设施建设项目2019年12月31日的财务状况及截至该日同年度的财务收支、项目执行和指定账户收支情况。</w:t>
      </w:r>
    </w:p>
    <w:p>
      <w:pPr>
        <w:pStyle w:val="14"/>
        <w:spacing w:line="380" w:lineRule="exact"/>
        <w:rPr>
          <w:rFonts w:ascii="仿宋_GB2312"/>
          <w:kern w:val="2"/>
          <w:sz w:val="32"/>
          <w:szCs w:val="32"/>
          <w:lang w:val="en-US" w:eastAsia="zh-CN"/>
        </w:rPr>
      </w:pPr>
    </w:p>
    <w:p>
      <w:pPr>
        <w:pStyle w:val="10"/>
        <w:adjustRightInd w:val="0"/>
        <w:snapToGrid w:val="0"/>
        <w:spacing w:line="380" w:lineRule="exact"/>
        <w:ind w:firstLine="560" w:firstLineChars="200"/>
        <w:rPr>
          <w:rFonts w:hint="eastAsia"/>
          <w:b/>
          <w:sz w:val="28"/>
          <w:szCs w:val="28"/>
        </w:rPr>
      </w:pPr>
      <w:r>
        <w:rPr>
          <w:rFonts w:hint="eastAsia"/>
          <w:b/>
          <w:sz w:val="28"/>
          <w:szCs w:val="28"/>
        </w:rPr>
        <w:t>（四）其他事项</w:t>
      </w:r>
    </w:p>
    <w:p>
      <w:pPr>
        <w:pStyle w:val="13"/>
        <w:spacing w:line="380" w:lineRule="exact"/>
        <w:rPr>
          <w:rFonts w:hint="eastAsia"/>
          <w:bCs/>
        </w:rPr>
      </w:pPr>
    </w:p>
    <w:p>
      <w:pPr>
        <w:pStyle w:val="10"/>
        <w:adjustRightInd w:val="0"/>
        <w:snapToGrid w:val="0"/>
        <w:spacing w:line="380" w:lineRule="exact"/>
        <w:ind w:firstLine="560" w:firstLineChars="200"/>
        <w:rPr>
          <w:rFonts w:hint="eastAsia" w:ascii="仿宋_GB2312" w:eastAsia="仿宋_GB2312"/>
          <w:bCs/>
          <w:sz w:val="28"/>
          <w:szCs w:val="28"/>
          <w:lang w:val="en-US" w:eastAsia="zh-CN"/>
        </w:rPr>
      </w:pPr>
      <w:r>
        <w:rPr>
          <w:rFonts w:hint="eastAsia" w:ascii="仿宋_GB2312" w:eastAsia="仿宋_GB2312"/>
          <w:bCs/>
          <w:sz w:val="28"/>
          <w:szCs w:val="28"/>
        </w:rPr>
        <w:t>我们审查了本期内由四川省财政厅报送给世界银行的</w:t>
      </w:r>
      <w:r>
        <w:rPr>
          <w:rFonts w:hint="eastAsia" w:ascii="仿宋_GB2312" w:eastAsia="仿宋_GB2312"/>
          <w:bCs/>
          <w:sz w:val="28"/>
          <w:szCs w:val="28"/>
          <w:lang w:eastAsia="zh-CN"/>
        </w:rPr>
        <w:t>第0</w:t>
      </w:r>
      <w:r>
        <w:rPr>
          <w:rFonts w:hint="eastAsia" w:ascii="仿宋_GB2312" w:eastAsia="仿宋_GB2312"/>
          <w:bCs/>
          <w:sz w:val="28"/>
          <w:szCs w:val="28"/>
          <w:lang w:val="en-US" w:eastAsia="zh-CN"/>
        </w:rPr>
        <w:t>08号至第009号</w:t>
      </w:r>
      <w:r>
        <w:rPr>
          <w:rFonts w:hint="eastAsia" w:ascii="仿宋_GB2312" w:eastAsia="仿宋_GB2312"/>
          <w:bCs/>
          <w:sz w:val="28"/>
          <w:szCs w:val="28"/>
        </w:rPr>
        <w:t>提款申请书及所附资料。</w:t>
      </w:r>
      <w:r>
        <w:rPr>
          <w:rFonts w:hint="eastAsia" w:ascii="仿宋_GB2312" w:eastAsia="仿宋_GB2312"/>
          <w:bCs/>
          <w:sz w:val="28"/>
          <w:szCs w:val="28"/>
          <w:lang w:val="en-US" w:eastAsia="zh-CN"/>
        </w:rPr>
        <w:t>我们认为，这些资料均符合贷款协定的要求，可以作为申请提款的依据。</w:t>
      </w:r>
    </w:p>
    <w:p>
      <w:pPr>
        <w:pStyle w:val="10"/>
        <w:adjustRightInd w:val="0"/>
        <w:snapToGrid w:val="0"/>
        <w:spacing w:line="380" w:lineRule="exact"/>
        <w:ind w:firstLine="560" w:firstLineChars="200"/>
        <w:rPr>
          <w:b/>
          <w:sz w:val="28"/>
          <w:szCs w:val="28"/>
        </w:rPr>
      </w:pPr>
    </w:p>
    <w:p>
      <w:pPr>
        <w:pStyle w:val="13"/>
        <w:spacing w:line="380" w:lineRule="exact"/>
        <w:rPr>
          <w:bCs/>
          <w:kern w:val="2"/>
          <w:lang w:val="en-US" w:eastAsia="zh-CN"/>
        </w:rPr>
      </w:pPr>
      <w:r>
        <w:rPr>
          <w:rFonts w:hint="eastAsia"/>
          <w:bCs/>
          <w:kern w:val="2"/>
          <w:lang w:val="en-US" w:eastAsia="zh-CN"/>
        </w:rPr>
        <w:t>本审计师意见之后，共同构成审计报告的还有两项内容：财务报表及财务报表附注和审计发现的问题及建议。</w:t>
      </w:r>
    </w:p>
    <w:p>
      <w:pPr>
        <w:pStyle w:val="10"/>
        <w:adjustRightInd w:val="0"/>
        <w:snapToGrid w:val="0"/>
        <w:spacing w:line="380" w:lineRule="exact"/>
        <w:rPr>
          <w:rFonts w:ascii="仿宋_GB2312" w:eastAsia="仿宋_GB2312"/>
          <w:sz w:val="32"/>
          <w:szCs w:val="32"/>
        </w:rPr>
      </w:pPr>
    </w:p>
    <w:p>
      <w:pPr>
        <w:pStyle w:val="13"/>
        <w:spacing w:line="380" w:lineRule="exact"/>
        <w:rPr>
          <w:sz w:val="28"/>
        </w:rPr>
      </w:pPr>
      <w:r>
        <w:rPr>
          <w:rFonts w:hint="eastAsia"/>
          <w:sz w:val="32"/>
          <w:szCs w:val="32"/>
        </w:rPr>
        <w:t xml:space="preserve">        </w:t>
      </w:r>
      <w:r>
        <w:rPr>
          <w:rFonts w:hint="eastAsia"/>
          <w:sz w:val="32"/>
          <w:szCs w:val="32"/>
          <w:lang w:val="en-US" w:eastAsia="zh-CN"/>
        </w:rPr>
        <w:t xml:space="preserve">                     </w:t>
      </w:r>
      <w:r>
        <w:rPr>
          <w:rFonts w:hint="eastAsia" w:ascii="仿宋_GB2312" w:eastAsia="仿宋_GB2312" w:cs="Times New Roman"/>
          <w:kern w:val="2"/>
          <w:sz w:val="28"/>
          <w:szCs w:val="32"/>
          <w:lang w:val="en-US" w:eastAsia="zh-CN"/>
        </w:rPr>
        <w:t>四川省审计厅</w:t>
      </w:r>
    </w:p>
    <w:p>
      <w:pPr>
        <w:pStyle w:val="10"/>
        <w:adjustRightInd w:val="0"/>
        <w:snapToGrid w:val="0"/>
        <w:spacing w:line="380" w:lineRule="exact"/>
        <w:ind w:left="4200" w:leftChars="1800" w:hanging="420" w:hangingChars="150"/>
        <w:rPr>
          <w:rFonts w:eastAsia="仿宋_GB2312"/>
          <w:sz w:val="28"/>
          <w:szCs w:val="28"/>
        </w:rPr>
      </w:pPr>
    </w:p>
    <w:p>
      <w:pPr>
        <w:pStyle w:val="10"/>
        <w:adjustRightInd w:val="0"/>
        <w:snapToGrid w:val="0"/>
        <w:spacing w:line="380" w:lineRule="exact"/>
        <w:ind w:firstLine="5040" w:firstLineChars="1800"/>
        <w:rPr>
          <w:rFonts w:eastAsia="仿宋_GB2312"/>
          <w:sz w:val="28"/>
          <w:szCs w:val="28"/>
        </w:rPr>
      </w:pPr>
      <w:r>
        <w:rPr>
          <w:rFonts w:hint="eastAsia" w:eastAsia="仿宋_GB2312"/>
          <w:sz w:val="28"/>
          <w:szCs w:val="28"/>
        </w:rPr>
        <w:t>2020年</w:t>
      </w:r>
      <w:r>
        <w:rPr>
          <w:rFonts w:hint="eastAsia" w:eastAsia="仿宋_GB2312"/>
          <w:sz w:val="28"/>
          <w:szCs w:val="28"/>
          <w:lang w:val="en-US" w:eastAsia="zh-CN"/>
        </w:rPr>
        <w:t>6</w:t>
      </w:r>
      <w:r>
        <w:rPr>
          <w:rFonts w:hint="eastAsia" w:eastAsia="仿宋_GB2312"/>
          <w:sz w:val="28"/>
          <w:szCs w:val="28"/>
        </w:rPr>
        <w:t>月</w:t>
      </w:r>
      <w:r>
        <w:rPr>
          <w:rFonts w:hint="eastAsia" w:eastAsia="仿宋_GB2312"/>
          <w:sz w:val="28"/>
          <w:szCs w:val="28"/>
          <w:lang w:val="en-US" w:eastAsia="zh-CN"/>
        </w:rPr>
        <w:t>17</w:t>
      </w:r>
      <w:r>
        <w:rPr>
          <w:rFonts w:hint="eastAsia" w:eastAsia="仿宋_GB2312"/>
          <w:sz w:val="28"/>
          <w:szCs w:val="28"/>
        </w:rPr>
        <w:t>日</w:t>
      </w:r>
    </w:p>
    <w:p>
      <w:pPr>
        <w:pStyle w:val="10"/>
        <w:adjustRightInd w:val="0"/>
        <w:snapToGrid w:val="0"/>
        <w:spacing w:line="380" w:lineRule="exact"/>
        <w:ind w:firstLine="4640" w:firstLineChars="1450"/>
        <w:rPr>
          <w:rFonts w:ascii="仿宋_GB2312" w:eastAsia="仿宋_GB2312"/>
          <w:sz w:val="32"/>
          <w:szCs w:val="32"/>
        </w:rPr>
      </w:pPr>
    </w:p>
    <w:p>
      <w:pPr>
        <w:pStyle w:val="15"/>
        <w:adjustRightInd w:val="0"/>
        <w:spacing w:line="380" w:lineRule="exact"/>
        <w:rPr>
          <w:rFonts w:ascii="Times New Roman"/>
        </w:rPr>
      </w:pPr>
      <w:r>
        <w:rPr>
          <w:rFonts w:hint="eastAsia" w:ascii="Times New Roman"/>
        </w:rPr>
        <w:t>地址：四川省成都市永兴巷15号</w:t>
      </w:r>
    </w:p>
    <w:p>
      <w:pPr>
        <w:pStyle w:val="15"/>
        <w:adjustRightInd w:val="0"/>
        <w:spacing w:line="380" w:lineRule="exact"/>
        <w:rPr>
          <w:rFonts w:ascii="Times New Roman"/>
        </w:rPr>
      </w:pPr>
      <w:r>
        <w:rPr>
          <w:rFonts w:hint="eastAsia" w:ascii="Times New Roman"/>
        </w:rPr>
        <w:t>邮政编码：610012</w:t>
      </w:r>
    </w:p>
    <w:p>
      <w:pPr>
        <w:pStyle w:val="15"/>
        <w:adjustRightInd w:val="0"/>
        <w:spacing w:line="380" w:lineRule="exact"/>
        <w:rPr>
          <w:rFonts w:ascii="Times New Roman"/>
        </w:rPr>
      </w:pPr>
      <w:r>
        <w:rPr>
          <w:rFonts w:hint="eastAsia" w:ascii="Times New Roman"/>
        </w:rPr>
        <w:t>电话：028-86522202</w:t>
      </w:r>
    </w:p>
    <w:p>
      <w:pPr>
        <w:pStyle w:val="15"/>
        <w:adjustRightInd w:val="0"/>
        <w:spacing w:line="380" w:lineRule="exact"/>
        <w:rPr>
          <w:rFonts w:hint="eastAsia" w:ascii="Times New Roman"/>
        </w:rPr>
      </w:pPr>
      <w:r>
        <w:rPr>
          <w:rFonts w:hint="eastAsia" w:ascii="Times New Roman"/>
        </w:rPr>
        <w:t>传真：028-86522039</w:t>
      </w: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pStyle w:val="15"/>
        <w:rPr>
          <w:rFonts w:ascii="Times New Roman" w:eastAsia="仿宋_GB2312"/>
          <w:color w:val="000000"/>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spacing w:line="400" w:lineRule="exact"/>
        <w:ind w:firstLine="560" w:firstLineChars="200"/>
        <w:rPr>
          <w:rFonts w:hint="eastAsia" w:ascii="Times New Roman" w:hAnsi="Times New Roman" w:eastAsia="仿宋_GB2312" w:cs="Times New Roman"/>
          <w:kern w:val="2"/>
          <w:sz w:val="28"/>
          <w:szCs w:val="28"/>
          <w:highlight w:val="none"/>
          <w:lang w:val="en-US" w:eastAsia="zh-CN" w:bidi="ar-SA"/>
        </w:rPr>
      </w:pPr>
    </w:p>
    <w:p>
      <w:pPr>
        <w:pStyle w:val="16"/>
      </w:pPr>
      <w:r>
        <w:t>二、财务报表及财务报表附注</w:t>
      </w:r>
    </w:p>
    <w:p>
      <w:pPr>
        <w:pStyle w:val="19"/>
        <w:keepNext/>
        <w:spacing w:line="400" w:lineRule="exact"/>
        <w:outlineLvl w:val="0"/>
        <w:rPr>
          <w:rFonts w:eastAsia="仿宋_GB2312"/>
          <w:b/>
          <w:bCs/>
          <w:sz w:val="28"/>
          <w:szCs w:val="28"/>
        </w:rPr>
      </w:pPr>
      <w:bookmarkStart w:id="0" w:name="_Toc262213551"/>
      <w:bookmarkStart w:id="1" w:name="_Toc454893187"/>
      <w:r>
        <w:rPr>
          <w:rFonts w:hint="eastAsia" w:ascii="宋体" w:hAnsi="宋体" w:cs="宋体"/>
          <w:b/>
          <w:bCs/>
          <w:sz w:val="28"/>
          <w:szCs w:val="28"/>
        </w:rPr>
        <w:t>Ⅱ</w:t>
      </w:r>
      <w:r>
        <w:rPr>
          <w:rFonts w:eastAsia="仿宋_GB2312"/>
          <w:b/>
          <w:bCs/>
          <w:sz w:val="28"/>
          <w:szCs w:val="28"/>
        </w:rPr>
        <w:t>. Financial Statements and Notes to the Financial Statements</w:t>
      </w:r>
      <w:bookmarkEnd w:id="0"/>
      <w:bookmarkEnd w:id="1"/>
    </w:p>
    <w:p>
      <w:pPr>
        <w:pStyle w:val="19"/>
        <w:keepNext/>
        <w:autoSpaceDE w:val="0"/>
        <w:autoSpaceDN w:val="0"/>
        <w:adjustRightInd w:val="0"/>
        <w:snapToGrid w:val="0"/>
        <w:spacing w:line="400" w:lineRule="exact"/>
        <w:jc w:val="left"/>
        <w:outlineLvl w:val="1"/>
        <w:rPr>
          <w:rFonts w:eastAsia="仿宋_GB2312"/>
          <w:b/>
          <w:bCs/>
          <w:sz w:val="28"/>
          <w:szCs w:val="30"/>
        </w:rPr>
      </w:pPr>
      <w:bookmarkStart w:id="2" w:name="_Toc198720967"/>
      <w:bookmarkStart w:id="3" w:name="_Toc198720793"/>
      <w:bookmarkStart w:id="4" w:name="_Toc198720316"/>
      <w:bookmarkStart w:id="5" w:name="_Toc198721078"/>
      <w:bookmarkStart w:id="6" w:name="_Toc262213552"/>
      <w:bookmarkStart w:id="7" w:name="_Toc454893188"/>
      <w:bookmarkStart w:id="8" w:name="_Toc198720761"/>
      <w:bookmarkStart w:id="9" w:name="_Toc198721116"/>
      <w:r>
        <w:rPr>
          <w:rFonts w:eastAsia="仿宋_GB2312"/>
          <w:b/>
          <w:bCs/>
          <w:sz w:val="28"/>
          <w:szCs w:val="30"/>
        </w:rPr>
        <w:t>（一）资金平衡</w:t>
      </w:r>
      <w:bookmarkEnd w:id="2"/>
      <w:bookmarkEnd w:id="3"/>
      <w:bookmarkEnd w:id="4"/>
      <w:bookmarkEnd w:id="5"/>
      <w:bookmarkEnd w:id="6"/>
      <w:bookmarkEnd w:id="7"/>
      <w:bookmarkEnd w:id="8"/>
      <w:bookmarkEnd w:id="9"/>
      <w:r>
        <w:rPr>
          <w:rFonts w:hint="eastAsia" w:eastAsia="仿宋_GB2312"/>
          <w:b/>
          <w:bCs/>
          <w:sz w:val="28"/>
          <w:szCs w:val="30"/>
        </w:rPr>
        <w:t>表</w:t>
      </w:r>
      <w:bookmarkStart w:id="10" w:name="_Toc262213553"/>
      <w:bookmarkStart w:id="11" w:name="_Toc454893189"/>
    </w:p>
    <w:p>
      <w:pPr>
        <w:pStyle w:val="19"/>
        <w:keepNext/>
        <w:autoSpaceDE w:val="0"/>
        <w:autoSpaceDN w:val="0"/>
        <w:adjustRightInd w:val="0"/>
        <w:snapToGrid w:val="0"/>
        <w:spacing w:line="400" w:lineRule="exact"/>
        <w:jc w:val="left"/>
        <w:outlineLvl w:val="1"/>
        <w:rPr>
          <w:rFonts w:eastAsia="Times New Roman"/>
          <w:b/>
          <w:bCs/>
          <w:sz w:val="28"/>
          <w:szCs w:val="30"/>
        </w:rPr>
      </w:pPr>
      <w:r>
        <w:rPr>
          <w:rFonts w:eastAsia="Times New Roman"/>
          <w:b/>
          <w:bCs/>
          <w:sz w:val="28"/>
          <w:szCs w:val="30"/>
        </w:rPr>
        <w:t>i. Balance Sheet</w:t>
      </w:r>
      <w:bookmarkEnd w:id="10"/>
      <w:bookmarkEnd w:id="11"/>
    </w:p>
    <w:p>
      <w:pPr>
        <w:pStyle w:val="19"/>
        <w:snapToGrid w:val="0"/>
        <w:spacing w:line="120" w:lineRule="atLeast"/>
        <w:rPr>
          <w:rFonts w:eastAsia="仿宋_GB2312"/>
          <w:b/>
          <w:sz w:val="28"/>
          <w:szCs w:val="28"/>
        </w:rPr>
      </w:pPr>
    </w:p>
    <w:p>
      <w:pPr>
        <w:pStyle w:val="19"/>
        <w:widowControl/>
        <w:snapToGrid w:val="0"/>
        <w:spacing w:line="400" w:lineRule="exact"/>
        <w:jc w:val="center"/>
        <w:rPr>
          <w:rFonts w:eastAsia="仿宋_GB2312"/>
          <w:b/>
          <w:kern w:val="0"/>
          <w:sz w:val="32"/>
          <w:szCs w:val="32"/>
        </w:rPr>
      </w:pPr>
      <w:r>
        <w:rPr>
          <w:rFonts w:eastAsia="仿宋_GB2312"/>
          <w:b/>
          <w:kern w:val="0"/>
          <w:sz w:val="32"/>
          <w:szCs w:val="32"/>
        </w:rPr>
        <w:t>资 金 平 衡 表</w:t>
      </w:r>
    </w:p>
    <w:p>
      <w:pPr>
        <w:pStyle w:val="19"/>
        <w:widowControl/>
        <w:spacing w:line="400" w:lineRule="exact"/>
        <w:jc w:val="center"/>
        <w:rPr>
          <w:b/>
          <w:bCs/>
          <w:kern w:val="0"/>
          <w:sz w:val="32"/>
          <w:szCs w:val="32"/>
        </w:rPr>
      </w:pPr>
      <w:r>
        <w:rPr>
          <w:b/>
          <w:bCs/>
          <w:kern w:val="0"/>
          <w:sz w:val="32"/>
          <w:szCs w:val="32"/>
        </w:rPr>
        <w:t>BALANCE SHEET</w:t>
      </w:r>
    </w:p>
    <w:p>
      <w:pPr>
        <w:pStyle w:val="19"/>
        <w:snapToGrid w:val="0"/>
        <w:spacing w:line="240" w:lineRule="atLeast"/>
        <w:jc w:val="center"/>
        <w:rPr>
          <w:rFonts w:eastAsia="仿宋_GB2312"/>
          <w:kern w:val="0"/>
          <w:szCs w:val="28"/>
        </w:rPr>
      </w:pPr>
      <w:r>
        <w:rPr>
          <w:rFonts w:hint="eastAsia" w:eastAsia="仿宋_GB2312"/>
          <w:kern w:val="0"/>
          <w:szCs w:val="28"/>
        </w:rPr>
        <w:t>2019</w:t>
      </w:r>
      <w:r>
        <w:rPr>
          <w:rFonts w:eastAsia="仿宋_GB2312"/>
          <w:kern w:val="0"/>
          <w:szCs w:val="28"/>
        </w:rPr>
        <w:t>年12月31日</w:t>
      </w:r>
    </w:p>
    <w:p>
      <w:pPr>
        <w:pStyle w:val="19"/>
        <w:snapToGrid w:val="0"/>
        <w:spacing w:line="240" w:lineRule="atLeast"/>
        <w:jc w:val="center"/>
        <w:rPr>
          <w:rFonts w:eastAsia="仿宋_GB2312"/>
          <w:kern w:val="0"/>
          <w:szCs w:val="28"/>
        </w:rPr>
      </w:pPr>
      <w:r>
        <w:rPr>
          <w:rFonts w:eastAsia="仿宋_GB2312"/>
          <w:kern w:val="0"/>
          <w:szCs w:val="28"/>
        </w:rPr>
        <w:t xml:space="preserve">(As </w:t>
      </w:r>
      <w:r>
        <w:rPr>
          <w:rFonts w:hint="eastAsia" w:eastAsia="仿宋_GB2312"/>
          <w:kern w:val="0"/>
          <w:szCs w:val="28"/>
        </w:rPr>
        <w:t>of</w:t>
      </w:r>
      <w:r>
        <w:rPr>
          <w:rFonts w:eastAsia="仿宋_GB2312"/>
          <w:kern w:val="0"/>
          <w:szCs w:val="28"/>
        </w:rPr>
        <w:t xml:space="preserve"> </w:t>
      </w:r>
      <w:r>
        <w:rPr>
          <w:rFonts w:hint="eastAsia" w:eastAsia="仿宋_GB2312"/>
          <w:kern w:val="0"/>
          <w:szCs w:val="28"/>
        </w:rPr>
        <w:t>December 31, 2019</w:t>
      </w:r>
      <w:r>
        <w:rPr>
          <w:rFonts w:eastAsia="仿宋_GB2312"/>
          <w:kern w:val="0"/>
          <w:szCs w:val="28"/>
        </w:rPr>
        <w:t>)</w:t>
      </w:r>
    </w:p>
    <w:p>
      <w:pPr>
        <w:pStyle w:val="19"/>
        <w:snapToGrid w:val="0"/>
        <w:spacing w:line="240" w:lineRule="atLeast"/>
        <w:jc w:val="center"/>
        <w:rPr>
          <w:rFonts w:eastAsia="仿宋_GB2312"/>
          <w:kern w:val="0"/>
          <w:szCs w:val="28"/>
        </w:rPr>
      </w:pPr>
    </w:p>
    <w:p>
      <w:pPr>
        <w:pStyle w:val="19"/>
        <w:snapToGrid w:val="0"/>
        <w:spacing w:line="120" w:lineRule="atLeast"/>
        <w:ind w:leftChars="-207" w:right="-1784" w:hanging="434" w:hangingChars="207"/>
        <w:rPr>
          <w:rFonts w:eastAsia="仿宋_GB2312"/>
        </w:rPr>
      </w:pPr>
      <w:r>
        <w:rPr>
          <w:rFonts w:eastAsia="仿宋_GB2312"/>
        </w:rPr>
        <w:t xml:space="preserve">项目名称：世界银行贷款川渝合作(广安)示范区基础设施建设项目                                                         </w:t>
      </w:r>
    </w:p>
    <w:p>
      <w:pPr>
        <w:pStyle w:val="19"/>
        <w:snapToGrid w:val="0"/>
        <w:spacing w:line="120" w:lineRule="atLeast"/>
        <w:ind w:leftChars="-207" w:right="-1784" w:hanging="434" w:hangingChars="207"/>
        <w:rPr>
          <w:rFonts w:eastAsia="仿宋_GB2312"/>
        </w:rPr>
      </w:pPr>
      <w:r>
        <w:rPr>
          <w:rFonts w:eastAsia="仿宋_GB2312"/>
        </w:rPr>
        <w:t xml:space="preserve">Project Name: </w:t>
      </w:r>
      <w:r>
        <w:rPr>
          <w:rFonts w:hint="eastAsia" w:eastAsia="仿宋_GB2312"/>
        </w:rPr>
        <w:t xml:space="preserve">Sichuan-Chongqing Cooperation (Guang'an) Demonstration Area Infrastructure Construction Project </w:t>
      </w:r>
    </w:p>
    <w:p>
      <w:pPr>
        <w:pStyle w:val="19"/>
        <w:snapToGrid w:val="0"/>
        <w:spacing w:line="120" w:lineRule="atLeast"/>
        <w:ind w:leftChars="-207" w:right="-1784" w:hanging="434" w:hangingChars="207"/>
        <w:rPr>
          <w:rFonts w:eastAsia="仿宋_GB2312"/>
        </w:rPr>
      </w:pPr>
      <w:r>
        <w:rPr>
          <w:rFonts w:hint="eastAsia" w:eastAsia="仿宋_GB2312"/>
        </w:rPr>
        <w:t xml:space="preserve">            Financed by the World Bank</w:t>
      </w:r>
      <w:r>
        <w:rPr>
          <w:rFonts w:eastAsia="仿宋_GB2312"/>
        </w:rPr>
        <w:t xml:space="preserve">                                            </w:t>
      </w:r>
    </w:p>
    <w:p>
      <w:pPr>
        <w:pStyle w:val="19"/>
        <w:snapToGrid w:val="0"/>
        <w:spacing w:line="120" w:lineRule="atLeast"/>
        <w:ind w:left="-420" w:leftChars="-207" w:right="-1784" w:hanging="14" w:hangingChars="7"/>
        <w:jc w:val="left"/>
        <w:rPr>
          <w:rFonts w:eastAsia="仿宋_GB2312"/>
        </w:rPr>
      </w:pPr>
      <w:r>
        <w:rPr>
          <w:rFonts w:eastAsia="仿宋_GB2312"/>
        </w:rPr>
        <w:t>编报单位：</w:t>
      </w:r>
      <w:r>
        <w:rPr>
          <w:rFonts w:hint="eastAsia" w:eastAsia="仿宋_GB2312"/>
        </w:rPr>
        <w:t>世行贷款广安项目领导小组办公室</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9"/>
        <w:snapToGrid w:val="0"/>
        <w:spacing w:line="120" w:lineRule="atLeast"/>
        <w:ind w:leftChars="-207" w:right="-1784" w:hanging="434" w:hangingChars="207"/>
        <w:rPr>
          <w:rFonts w:eastAsia="仿宋_GB2312"/>
          <w:sz w:val="18"/>
        </w:rPr>
      </w:pPr>
      <w:r>
        <w:t>Prepared by</w:t>
      </w:r>
      <w:r>
        <w:rPr>
          <w:rFonts w:eastAsia="仿宋_GB2312"/>
        </w:rPr>
        <w:t xml:space="preserve">: </w:t>
      </w:r>
      <w:r>
        <w:rPr>
          <w:rFonts w:hint="eastAsia" w:eastAsia="仿宋_GB2312"/>
        </w:rPr>
        <w:t>Guang</w:t>
      </w:r>
      <w:r>
        <w:rPr>
          <w:rFonts w:eastAsia="仿宋_GB2312"/>
        </w:rPr>
        <w:t>’</w:t>
      </w:r>
      <w:r>
        <w:rPr>
          <w:rFonts w:hint="eastAsia" w:eastAsia="仿宋_GB2312"/>
        </w:rPr>
        <w:t>an Project Management Office</w:t>
      </w:r>
      <w:r>
        <w:rPr>
          <w:rFonts w:eastAsia="仿宋_GB2312"/>
        </w:rPr>
        <w:t xml:space="preserve">          </w:t>
      </w:r>
      <w:r>
        <w:rPr>
          <w:rFonts w:eastAsia="仿宋_GB2312"/>
          <w:sz w:val="18"/>
        </w:rPr>
        <w:t xml:space="preserve">                  </w:t>
      </w:r>
      <w:r>
        <w:rPr>
          <w:rFonts w:hint="eastAsia" w:eastAsia="仿宋_GB2312"/>
          <w:sz w:val="18"/>
        </w:rPr>
        <w:t xml:space="preserve">       </w:t>
      </w:r>
      <w:r>
        <w:rPr>
          <w:rFonts w:eastAsia="仿宋_GB2312"/>
          <w:szCs w:val="21"/>
        </w:rPr>
        <w:t xml:space="preserve">Currency Unit: </w:t>
      </w:r>
      <w:r>
        <w:rPr>
          <w:kern w:val="0"/>
          <w:szCs w:val="21"/>
        </w:rPr>
        <w:t>RMB Yuan</w:t>
      </w:r>
    </w:p>
    <w:tbl>
      <w:tblPr>
        <w:tblStyle w:val="6"/>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1"/>
        <w:gridCol w:w="453"/>
        <w:gridCol w:w="1282"/>
        <w:gridCol w:w="1259"/>
        <w:gridCol w:w="2102"/>
        <w:gridCol w:w="420"/>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blHeader/>
        </w:trPr>
        <w:tc>
          <w:tcPr>
            <w:tcW w:w="2401" w:type="dxa"/>
            <w:vAlign w:val="center"/>
          </w:tcPr>
          <w:p>
            <w:pPr>
              <w:pStyle w:val="19"/>
              <w:widowControl/>
              <w:spacing w:line="160" w:lineRule="exact"/>
              <w:jc w:val="center"/>
              <w:rPr>
                <w:kern w:val="0"/>
                <w:sz w:val="15"/>
                <w:szCs w:val="15"/>
              </w:rPr>
            </w:pPr>
            <w:r>
              <w:rPr>
                <w:kern w:val="0"/>
                <w:sz w:val="15"/>
                <w:szCs w:val="15"/>
              </w:rPr>
              <w:t xml:space="preserve">资   金   占  用                                                 Application of Fund                                                                                                                                      </w:t>
            </w:r>
          </w:p>
        </w:tc>
        <w:tc>
          <w:tcPr>
            <w:tcW w:w="453" w:type="dxa"/>
            <w:vAlign w:val="center"/>
          </w:tcPr>
          <w:p>
            <w:pPr>
              <w:pStyle w:val="19"/>
              <w:widowControl/>
              <w:spacing w:line="160" w:lineRule="exact"/>
              <w:jc w:val="center"/>
              <w:rPr>
                <w:kern w:val="0"/>
                <w:sz w:val="15"/>
                <w:szCs w:val="15"/>
              </w:rPr>
            </w:pPr>
            <w:r>
              <w:rPr>
                <w:kern w:val="0"/>
                <w:sz w:val="15"/>
                <w:szCs w:val="15"/>
              </w:rPr>
              <w:t xml:space="preserve">行次Line No.            </w:t>
            </w:r>
          </w:p>
        </w:tc>
        <w:tc>
          <w:tcPr>
            <w:tcW w:w="1282" w:type="dxa"/>
            <w:vAlign w:val="center"/>
          </w:tcPr>
          <w:p>
            <w:pPr>
              <w:pStyle w:val="19"/>
              <w:widowControl/>
              <w:spacing w:line="160" w:lineRule="exact"/>
              <w:jc w:val="center"/>
              <w:rPr>
                <w:kern w:val="0"/>
                <w:sz w:val="15"/>
                <w:szCs w:val="15"/>
              </w:rPr>
            </w:pPr>
            <w:r>
              <w:rPr>
                <w:kern w:val="0"/>
                <w:sz w:val="15"/>
                <w:szCs w:val="15"/>
              </w:rPr>
              <w:t>期初数                                                                                                                                   Beginning Balance</w:t>
            </w:r>
          </w:p>
        </w:tc>
        <w:tc>
          <w:tcPr>
            <w:tcW w:w="1259" w:type="dxa"/>
            <w:vAlign w:val="center"/>
          </w:tcPr>
          <w:p>
            <w:pPr>
              <w:pStyle w:val="19"/>
              <w:widowControl/>
              <w:spacing w:line="160" w:lineRule="exact"/>
              <w:jc w:val="center"/>
              <w:rPr>
                <w:kern w:val="0"/>
                <w:sz w:val="15"/>
                <w:szCs w:val="15"/>
              </w:rPr>
            </w:pPr>
            <w:r>
              <w:rPr>
                <w:kern w:val="0"/>
                <w:sz w:val="15"/>
                <w:szCs w:val="15"/>
              </w:rPr>
              <w:t>期末数                                                                                                                                     Ending Balance</w:t>
            </w:r>
          </w:p>
        </w:tc>
        <w:tc>
          <w:tcPr>
            <w:tcW w:w="2102" w:type="dxa"/>
            <w:vAlign w:val="center"/>
          </w:tcPr>
          <w:p>
            <w:pPr>
              <w:pStyle w:val="19"/>
              <w:widowControl/>
              <w:spacing w:line="160" w:lineRule="exact"/>
              <w:jc w:val="center"/>
              <w:rPr>
                <w:kern w:val="0"/>
                <w:sz w:val="15"/>
                <w:szCs w:val="15"/>
              </w:rPr>
            </w:pPr>
            <w:r>
              <w:rPr>
                <w:kern w:val="0"/>
                <w:sz w:val="15"/>
                <w:szCs w:val="15"/>
              </w:rPr>
              <w:t xml:space="preserve">资  金  来  源                                                                                                                                Sources of Fund                                  </w:t>
            </w:r>
          </w:p>
        </w:tc>
        <w:tc>
          <w:tcPr>
            <w:tcW w:w="420" w:type="dxa"/>
            <w:vAlign w:val="center"/>
          </w:tcPr>
          <w:p>
            <w:pPr>
              <w:pStyle w:val="19"/>
              <w:widowControl/>
              <w:spacing w:line="160" w:lineRule="exact"/>
              <w:jc w:val="center"/>
              <w:rPr>
                <w:kern w:val="0"/>
                <w:sz w:val="15"/>
                <w:szCs w:val="15"/>
              </w:rPr>
            </w:pPr>
            <w:r>
              <w:rPr>
                <w:kern w:val="0"/>
                <w:sz w:val="15"/>
                <w:szCs w:val="15"/>
              </w:rPr>
              <w:t xml:space="preserve">行次Line No.             </w:t>
            </w:r>
          </w:p>
        </w:tc>
        <w:tc>
          <w:tcPr>
            <w:tcW w:w="1261" w:type="dxa"/>
            <w:vAlign w:val="center"/>
          </w:tcPr>
          <w:p>
            <w:pPr>
              <w:pStyle w:val="19"/>
              <w:widowControl/>
              <w:spacing w:line="160" w:lineRule="exact"/>
              <w:jc w:val="center"/>
              <w:rPr>
                <w:kern w:val="0"/>
                <w:sz w:val="15"/>
                <w:szCs w:val="15"/>
              </w:rPr>
            </w:pPr>
            <w:r>
              <w:rPr>
                <w:kern w:val="0"/>
                <w:sz w:val="15"/>
                <w:szCs w:val="15"/>
              </w:rPr>
              <w:t>期初数                                                                                                                                   Beginning Balance</w:t>
            </w:r>
          </w:p>
        </w:tc>
        <w:tc>
          <w:tcPr>
            <w:tcW w:w="1259" w:type="dxa"/>
            <w:vAlign w:val="center"/>
          </w:tcPr>
          <w:p>
            <w:pPr>
              <w:pStyle w:val="19"/>
              <w:widowControl/>
              <w:spacing w:line="160" w:lineRule="exact"/>
              <w:jc w:val="center"/>
              <w:rPr>
                <w:kern w:val="0"/>
                <w:sz w:val="15"/>
                <w:szCs w:val="15"/>
              </w:rPr>
            </w:pPr>
            <w:r>
              <w:rPr>
                <w:kern w:val="0"/>
                <w:sz w:val="15"/>
                <w:szCs w:val="15"/>
              </w:rPr>
              <w:t>期末数                                                                                                                                     Ending Balance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71"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一、项目支出合计             Total Project Expenditures                                                      </w:t>
            </w:r>
          </w:p>
        </w:tc>
        <w:tc>
          <w:tcPr>
            <w:tcW w:w="453" w:type="dxa"/>
            <w:vAlign w:val="center"/>
          </w:tcPr>
          <w:p>
            <w:pPr>
              <w:pStyle w:val="19"/>
              <w:widowControl/>
              <w:spacing w:line="160" w:lineRule="exact"/>
              <w:jc w:val="center"/>
              <w:rPr>
                <w:kern w:val="0"/>
                <w:sz w:val="15"/>
                <w:szCs w:val="15"/>
              </w:rPr>
            </w:pPr>
            <w:r>
              <w:rPr>
                <w:kern w:val="0"/>
                <w:sz w:val="15"/>
                <w:szCs w:val="15"/>
              </w:rPr>
              <w:t>1</w:t>
            </w:r>
          </w:p>
        </w:tc>
        <w:tc>
          <w:tcPr>
            <w:tcW w:w="1282" w:type="dxa"/>
            <w:vAlign w:val="center"/>
          </w:tcPr>
          <w:p>
            <w:pPr>
              <w:pStyle w:val="19"/>
              <w:spacing w:line="160" w:lineRule="exact"/>
              <w:jc w:val="right"/>
              <w:rPr>
                <w:sz w:val="15"/>
                <w:szCs w:val="15"/>
              </w:rPr>
            </w:pPr>
            <w:r>
              <w:rPr>
                <w:rFonts w:hint="eastAsia"/>
                <w:sz w:val="15"/>
                <w:szCs w:val="15"/>
              </w:rPr>
              <w:t xml:space="preserve">   </w:t>
            </w:r>
            <w:r>
              <w:rPr>
                <w:sz w:val="15"/>
                <w:szCs w:val="15"/>
              </w:rPr>
              <w:t>280,773,086.14</w:t>
            </w:r>
          </w:p>
        </w:tc>
        <w:tc>
          <w:tcPr>
            <w:tcW w:w="1259" w:type="dxa"/>
            <w:vAlign w:val="center"/>
          </w:tcPr>
          <w:p>
            <w:pPr>
              <w:pStyle w:val="19"/>
              <w:spacing w:line="160" w:lineRule="exact"/>
              <w:jc w:val="right"/>
              <w:rPr>
                <w:sz w:val="15"/>
                <w:szCs w:val="15"/>
              </w:rPr>
            </w:pPr>
            <w:r>
              <w:rPr>
                <w:sz w:val="15"/>
                <w:szCs w:val="15"/>
              </w:rPr>
              <w:t>402,486,216.17</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一、项目拨款合计                                                                                                                         Total Project Appropriation Funds                           </w:t>
            </w:r>
          </w:p>
        </w:tc>
        <w:tc>
          <w:tcPr>
            <w:tcW w:w="420" w:type="dxa"/>
            <w:vAlign w:val="center"/>
          </w:tcPr>
          <w:p>
            <w:pPr>
              <w:pStyle w:val="19"/>
              <w:widowControl/>
              <w:spacing w:line="160" w:lineRule="exact"/>
              <w:jc w:val="center"/>
              <w:rPr>
                <w:kern w:val="0"/>
                <w:sz w:val="15"/>
                <w:szCs w:val="15"/>
              </w:rPr>
            </w:pPr>
            <w:r>
              <w:rPr>
                <w:kern w:val="0"/>
                <w:sz w:val="15"/>
                <w:szCs w:val="15"/>
              </w:rPr>
              <w:t>28</w:t>
            </w:r>
          </w:p>
        </w:tc>
        <w:tc>
          <w:tcPr>
            <w:tcW w:w="1261" w:type="dxa"/>
            <w:vAlign w:val="center"/>
          </w:tcPr>
          <w:p>
            <w:pPr>
              <w:pStyle w:val="19"/>
              <w:jc w:val="right"/>
              <w:rPr>
                <w:sz w:val="15"/>
                <w:szCs w:val="15"/>
              </w:rPr>
            </w:pPr>
            <w:r>
              <w:rPr>
                <w:sz w:val="15"/>
                <w:szCs w:val="15"/>
              </w:rPr>
              <w:t>151,944,334.27</w:t>
            </w:r>
          </w:p>
        </w:tc>
        <w:tc>
          <w:tcPr>
            <w:tcW w:w="1259" w:type="dxa"/>
            <w:vAlign w:val="center"/>
          </w:tcPr>
          <w:p>
            <w:pPr>
              <w:pStyle w:val="19"/>
              <w:jc w:val="right"/>
              <w:rPr>
                <w:sz w:val="15"/>
                <w:szCs w:val="15"/>
              </w:rPr>
            </w:pPr>
            <w:r>
              <w:rPr>
                <w:sz w:val="15"/>
                <w:szCs w:val="15"/>
              </w:rPr>
              <w:t>175,537,692.26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1. 交付使用资产                                                                                                                        Fixed Assets Transferred                                                   </w:t>
            </w:r>
          </w:p>
        </w:tc>
        <w:tc>
          <w:tcPr>
            <w:tcW w:w="453" w:type="dxa"/>
            <w:vAlign w:val="center"/>
          </w:tcPr>
          <w:p>
            <w:pPr>
              <w:pStyle w:val="19"/>
              <w:widowControl/>
              <w:spacing w:line="160" w:lineRule="exact"/>
              <w:jc w:val="center"/>
              <w:rPr>
                <w:kern w:val="0"/>
                <w:sz w:val="15"/>
                <w:szCs w:val="15"/>
              </w:rPr>
            </w:pPr>
            <w:r>
              <w:rPr>
                <w:kern w:val="0"/>
                <w:sz w:val="15"/>
                <w:szCs w:val="15"/>
              </w:rPr>
              <w:t>2</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二、项目资本与项目资本公积                                                                                                                Project Capital and Capital Surplus</w:t>
            </w:r>
          </w:p>
        </w:tc>
        <w:tc>
          <w:tcPr>
            <w:tcW w:w="420" w:type="dxa"/>
            <w:vAlign w:val="center"/>
          </w:tcPr>
          <w:p>
            <w:pPr>
              <w:pStyle w:val="19"/>
              <w:widowControl/>
              <w:spacing w:line="160" w:lineRule="exact"/>
              <w:jc w:val="center"/>
              <w:rPr>
                <w:kern w:val="0"/>
                <w:sz w:val="15"/>
                <w:szCs w:val="15"/>
              </w:rPr>
            </w:pPr>
            <w:r>
              <w:rPr>
                <w:kern w:val="0"/>
                <w:sz w:val="15"/>
                <w:szCs w:val="15"/>
              </w:rPr>
              <w:t>29</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2. 待核销项目支出                                                                                                             Construction Expenditures to be Disposed </w:t>
            </w:r>
          </w:p>
        </w:tc>
        <w:tc>
          <w:tcPr>
            <w:tcW w:w="453" w:type="dxa"/>
            <w:vAlign w:val="center"/>
          </w:tcPr>
          <w:p>
            <w:pPr>
              <w:pStyle w:val="19"/>
              <w:widowControl/>
              <w:spacing w:line="160" w:lineRule="exact"/>
              <w:jc w:val="center"/>
              <w:rPr>
                <w:kern w:val="0"/>
                <w:sz w:val="15"/>
                <w:szCs w:val="15"/>
              </w:rPr>
            </w:pPr>
            <w:r>
              <w:rPr>
                <w:kern w:val="0"/>
                <w:sz w:val="15"/>
                <w:szCs w:val="15"/>
              </w:rPr>
              <w:t>3</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    其中:捐赠款                                                                                                                        Including: Grants                                                                    </w:t>
            </w:r>
          </w:p>
        </w:tc>
        <w:tc>
          <w:tcPr>
            <w:tcW w:w="420" w:type="dxa"/>
            <w:vAlign w:val="center"/>
          </w:tcPr>
          <w:p>
            <w:pPr>
              <w:pStyle w:val="19"/>
              <w:widowControl/>
              <w:spacing w:line="160" w:lineRule="exact"/>
              <w:jc w:val="center"/>
              <w:rPr>
                <w:kern w:val="0"/>
                <w:sz w:val="15"/>
                <w:szCs w:val="15"/>
              </w:rPr>
            </w:pPr>
            <w:r>
              <w:rPr>
                <w:kern w:val="0"/>
                <w:sz w:val="15"/>
                <w:szCs w:val="15"/>
              </w:rPr>
              <w:t>30</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3. 转出投资                                                                                                                        Investments Transferred-out </w:t>
            </w:r>
          </w:p>
        </w:tc>
        <w:tc>
          <w:tcPr>
            <w:tcW w:w="453" w:type="dxa"/>
            <w:vAlign w:val="center"/>
          </w:tcPr>
          <w:p>
            <w:pPr>
              <w:pStyle w:val="19"/>
              <w:widowControl/>
              <w:spacing w:line="160" w:lineRule="exact"/>
              <w:jc w:val="center"/>
              <w:rPr>
                <w:kern w:val="0"/>
                <w:sz w:val="15"/>
                <w:szCs w:val="15"/>
              </w:rPr>
            </w:pPr>
            <w:r>
              <w:rPr>
                <w:kern w:val="0"/>
                <w:sz w:val="15"/>
                <w:szCs w:val="15"/>
              </w:rPr>
              <w:t>4</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三、项目借款合计                                                                                                                           Total Project Loan </w:t>
            </w:r>
          </w:p>
        </w:tc>
        <w:tc>
          <w:tcPr>
            <w:tcW w:w="420" w:type="dxa"/>
            <w:vAlign w:val="center"/>
          </w:tcPr>
          <w:p>
            <w:pPr>
              <w:pStyle w:val="19"/>
              <w:widowControl/>
              <w:spacing w:line="160" w:lineRule="exact"/>
              <w:jc w:val="center"/>
              <w:rPr>
                <w:kern w:val="0"/>
                <w:sz w:val="15"/>
                <w:szCs w:val="15"/>
              </w:rPr>
            </w:pPr>
            <w:r>
              <w:rPr>
                <w:kern w:val="0"/>
                <w:sz w:val="15"/>
                <w:szCs w:val="15"/>
              </w:rPr>
              <w:t>31</w:t>
            </w:r>
          </w:p>
        </w:tc>
        <w:tc>
          <w:tcPr>
            <w:tcW w:w="1261" w:type="dxa"/>
            <w:vAlign w:val="center"/>
          </w:tcPr>
          <w:p>
            <w:pPr>
              <w:pStyle w:val="19"/>
              <w:jc w:val="right"/>
              <w:rPr>
                <w:sz w:val="15"/>
                <w:szCs w:val="15"/>
              </w:rPr>
            </w:pPr>
            <w:r>
              <w:rPr>
                <w:sz w:val="15"/>
                <w:szCs w:val="15"/>
              </w:rPr>
              <w:t>172,068,594.30</w:t>
            </w:r>
            <w:r>
              <w:rPr>
                <w:kern w:val="0"/>
                <w:sz w:val="15"/>
                <w:szCs w:val="15"/>
              </w:rPr>
              <w:t xml:space="preserve"> </w:t>
            </w:r>
          </w:p>
        </w:tc>
        <w:tc>
          <w:tcPr>
            <w:tcW w:w="1259" w:type="dxa"/>
            <w:vAlign w:val="center"/>
          </w:tcPr>
          <w:p>
            <w:pPr>
              <w:pStyle w:val="19"/>
              <w:jc w:val="right"/>
              <w:rPr>
                <w:sz w:val="15"/>
                <w:szCs w:val="15"/>
              </w:rPr>
            </w:pPr>
            <w:r>
              <w:rPr>
                <w:sz w:val="15"/>
                <w:szCs w:val="15"/>
              </w:rPr>
              <w:t>251,627,278.17</w:t>
            </w:r>
            <w:r>
              <w:rPr>
                <w:kern w:val="0"/>
                <w:sz w:val="15"/>
                <w:szCs w:val="15"/>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4. 在建工程                                                                                                                 Construction in Progress </w:t>
            </w:r>
          </w:p>
        </w:tc>
        <w:tc>
          <w:tcPr>
            <w:tcW w:w="453" w:type="dxa"/>
            <w:vAlign w:val="center"/>
          </w:tcPr>
          <w:p>
            <w:pPr>
              <w:pStyle w:val="19"/>
              <w:widowControl/>
              <w:spacing w:line="160" w:lineRule="exact"/>
              <w:jc w:val="center"/>
              <w:rPr>
                <w:kern w:val="0"/>
                <w:sz w:val="15"/>
                <w:szCs w:val="15"/>
              </w:rPr>
            </w:pPr>
            <w:r>
              <w:rPr>
                <w:kern w:val="0"/>
                <w:sz w:val="15"/>
                <w:szCs w:val="15"/>
              </w:rPr>
              <w:t>5</w:t>
            </w:r>
          </w:p>
        </w:tc>
        <w:tc>
          <w:tcPr>
            <w:tcW w:w="1282" w:type="dxa"/>
            <w:vAlign w:val="center"/>
          </w:tcPr>
          <w:p>
            <w:pPr>
              <w:pStyle w:val="19"/>
              <w:spacing w:line="160" w:lineRule="exact"/>
              <w:jc w:val="right"/>
              <w:rPr>
                <w:sz w:val="15"/>
                <w:szCs w:val="15"/>
              </w:rPr>
            </w:pPr>
            <w:r>
              <w:rPr>
                <w:rFonts w:hint="eastAsia"/>
                <w:sz w:val="15"/>
                <w:szCs w:val="15"/>
              </w:rPr>
              <w:t xml:space="preserve">   </w:t>
            </w:r>
            <w:r>
              <w:rPr>
                <w:sz w:val="15"/>
                <w:szCs w:val="15"/>
              </w:rPr>
              <w:t>280,773,086.14</w:t>
            </w:r>
          </w:p>
        </w:tc>
        <w:tc>
          <w:tcPr>
            <w:tcW w:w="1259" w:type="dxa"/>
            <w:vAlign w:val="center"/>
          </w:tcPr>
          <w:p>
            <w:pPr>
              <w:pStyle w:val="19"/>
              <w:spacing w:line="160" w:lineRule="exact"/>
              <w:jc w:val="right"/>
              <w:rPr>
                <w:sz w:val="15"/>
                <w:szCs w:val="15"/>
              </w:rPr>
            </w:pPr>
            <w:r>
              <w:rPr>
                <w:sz w:val="15"/>
                <w:szCs w:val="15"/>
              </w:rPr>
              <w:t>402,486,216.17</w:t>
            </w:r>
          </w:p>
        </w:tc>
        <w:tc>
          <w:tcPr>
            <w:tcW w:w="2102"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1. 项目投资借款                                                                                                                          Total Project Investment Loan                                                      </w:t>
            </w:r>
          </w:p>
        </w:tc>
        <w:tc>
          <w:tcPr>
            <w:tcW w:w="420" w:type="dxa"/>
            <w:vAlign w:val="center"/>
          </w:tcPr>
          <w:p>
            <w:pPr>
              <w:pStyle w:val="19"/>
              <w:widowControl/>
              <w:spacing w:line="160" w:lineRule="exact"/>
              <w:jc w:val="center"/>
              <w:rPr>
                <w:kern w:val="0"/>
                <w:sz w:val="15"/>
                <w:szCs w:val="15"/>
              </w:rPr>
            </w:pPr>
            <w:r>
              <w:rPr>
                <w:kern w:val="0"/>
                <w:sz w:val="15"/>
                <w:szCs w:val="15"/>
              </w:rPr>
              <w:t>32</w:t>
            </w:r>
          </w:p>
        </w:tc>
        <w:tc>
          <w:tcPr>
            <w:tcW w:w="1261" w:type="dxa"/>
            <w:vAlign w:val="center"/>
          </w:tcPr>
          <w:p>
            <w:pPr>
              <w:pStyle w:val="19"/>
              <w:jc w:val="right"/>
              <w:rPr>
                <w:sz w:val="15"/>
                <w:szCs w:val="15"/>
              </w:rPr>
            </w:pPr>
            <w:r>
              <w:rPr>
                <w:sz w:val="15"/>
                <w:szCs w:val="15"/>
              </w:rPr>
              <w:t>172,068,594.30</w:t>
            </w:r>
            <w:r>
              <w:rPr>
                <w:kern w:val="0"/>
                <w:sz w:val="15"/>
                <w:szCs w:val="15"/>
              </w:rPr>
              <w:t xml:space="preserve"> </w:t>
            </w:r>
          </w:p>
        </w:tc>
        <w:tc>
          <w:tcPr>
            <w:tcW w:w="1259" w:type="dxa"/>
            <w:vAlign w:val="center"/>
          </w:tcPr>
          <w:p>
            <w:pPr>
              <w:pStyle w:val="19"/>
              <w:jc w:val="right"/>
              <w:rPr>
                <w:sz w:val="15"/>
                <w:szCs w:val="15"/>
              </w:rPr>
            </w:pPr>
            <w:r>
              <w:rPr>
                <w:kern w:val="0"/>
                <w:sz w:val="15"/>
                <w:szCs w:val="15"/>
              </w:rPr>
              <w:t xml:space="preserve">251,627,278.17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二、应收生产单位投资借款                                                                                                             Investment Loan Receivable</w:t>
            </w:r>
          </w:p>
        </w:tc>
        <w:tc>
          <w:tcPr>
            <w:tcW w:w="453" w:type="dxa"/>
            <w:vAlign w:val="center"/>
          </w:tcPr>
          <w:p>
            <w:pPr>
              <w:pStyle w:val="19"/>
              <w:widowControl/>
              <w:spacing w:line="160" w:lineRule="exact"/>
              <w:jc w:val="center"/>
              <w:rPr>
                <w:kern w:val="0"/>
                <w:sz w:val="15"/>
                <w:szCs w:val="15"/>
              </w:rPr>
            </w:pPr>
            <w:r>
              <w:rPr>
                <w:kern w:val="0"/>
                <w:sz w:val="15"/>
                <w:szCs w:val="15"/>
              </w:rPr>
              <w:t>6</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525" w:hanging="525" w:hangingChars="350"/>
              <w:jc w:val="left"/>
              <w:rPr>
                <w:kern w:val="0"/>
                <w:sz w:val="15"/>
                <w:szCs w:val="15"/>
              </w:rPr>
            </w:pPr>
            <w:r>
              <w:rPr>
                <w:kern w:val="0"/>
                <w:sz w:val="15"/>
                <w:szCs w:val="15"/>
              </w:rPr>
              <w:t xml:space="preserve">    (1) 国外借款                                                                                                                          Foreign Loan</w:t>
            </w:r>
          </w:p>
        </w:tc>
        <w:tc>
          <w:tcPr>
            <w:tcW w:w="420" w:type="dxa"/>
            <w:vAlign w:val="center"/>
          </w:tcPr>
          <w:p>
            <w:pPr>
              <w:pStyle w:val="19"/>
              <w:widowControl/>
              <w:spacing w:line="160" w:lineRule="exact"/>
              <w:jc w:val="center"/>
              <w:rPr>
                <w:kern w:val="0"/>
                <w:sz w:val="15"/>
                <w:szCs w:val="15"/>
              </w:rPr>
            </w:pPr>
            <w:r>
              <w:rPr>
                <w:kern w:val="0"/>
                <w:sz w:val="15"/>
                <w:szCs w:val="15"/>
              </w:rPr>
              <w:t>33</w:t>
            </w:r>
          </w:p>
        </w:tc>
        <w:tc>
          <w:tcPr>
            <w:tcW w:w="1261" w:type="dxa"/>
            <w:vAlign w:val="center"/>
          </w:tcPr>
          <w:p>
            <w:pPr>
              <w:pStyle w:val="19"/>
              <w:jc w:val="right"/>
              <w:rPr>
                <w:sz w:val="15"/>
                <w:szCs w:val="15"/>
              </w:rPr>
            </w:pPr>
            <w:r>
              <w:rPr>
                <w:sz w:val="15"/>
                <w:szCs w:val="15"/>
              </w:rPr>
              <w:t>172,068,594.30</w:t>
            </w:r>
          </w:p>
        </w:tc>
        <w:tc>
          <w:tcPr>
            <w:tcW w:w="1259" w:type="dxa"/>
            <w:vAlign w:val="center"/>
          </w:tcPr>
          <w:p>
            <w:pPr>
              <w:pStyle w:val="19"/>
              <w:jc w:val="right"/>
              <w:rPr>
                <w:sz w:val="15"/>
                <w:szCs w:val="15"/>
              </w:rPr>
            </w:pPr>
            <w:r>
              <w:rPr>
                <w:kern w:val="0"/>
                <w:sz w:val="15"/>
                <w:szCs w:val="15"/>
              </w:rPr>
              <w:t xml:space="preserve">251,627,278.17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    其中:应收生产单位世行贷款                                                                                                       Including: World Bank Investment Loan Receivable        </w:t>
            </w:r>
          </w:p>
        </w:tc>
        <w:tc>
          <w:tcPr>
            <w:tcW w:w="453" w:type="dxa"/>
            <w:vAlign w:val="center"/>
          </w:tcPr>
          <w:p>
            <w:pPr>
              <w:pStyle w:val="19"/>
              <w:widowControl/>
              <w:spacing w:line="160" w:lineRule="exact"/>
              <w:jc w:val="center"/>
              <w:rPr>
                <w:kern w:val="0"/>
                <w:sz w:val="15"/>
                <w:szCs w:val="15"/>
              </w:rPr>
            </w:pPr>
            <w:r>
              <w:rPr>
                <w:kern w:val="0"/>
                <w:sz w:val="15"/>
                <w:szCs w:val="15"/>
              </w:rPr>
              <w:t>7</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529" w:leftChars="252"/>
              <w:jc w:val="left"/>
              <w:rPr>
                <w:kern w:val="0"/>
                <w:sz w:val="15"/>
                <w:szCs w:val="15"/>
              </w:rPr>
            </w:pPr>
            <w:r>
              <w:rPr>
                <w:kern w:val="0"/>
                <w:sz w:val="15"/>
                <w:szCs w:val="15"/>
              </w:rPr>
              <w:t>其中:国际开发协会                                            Including: IDA</w:t>
            </w:r>
          </w:p>
        </w:tc>
        <w:tc>
          <w:tcPr>
            <w:tcW w:w="420" w:type="dxa"/>
            <w:vAlign w:val="center"/>
          </w:tcPr>
          <w:p>
            <w:pPr>
              <w:pStyle w:val="19"/>
              <w:widowControl/>
              <w:spacing w:line="160" w:lineRule="exact"/>
              <w:jc w:val="center"/>
              <w:rPr>
                <w:kern w:val="0"/>
                <w:sz w:val="15"/>
                <w:szCs w:val="15"/>
              </w:rPr>
            </w:pPr>
            <w:r>
              <w:rPr>
                <w:kern w:val="0"/>
                <w:sz w:val="15"/>
                <w:szCs w:val="15"/>
              </w:rPr>
              <w:t>34</w:t>
            </w:r>
          </w:p>
        </w:tc>
        <w:tc>
          <w:tcPr>
            <w:tcW w:w="1261" w:type="dxa"/>
            <w:vAlign w:val="center"/>
          </w:tcPr>
          <w:p>
            <w:pPr>
              <w:pStyle w:val="19"/>
              <w:jc w:val="right"/>
              <w:rPr>
                <w:sz w:val="15"/>
                <w:szCs w:val="15"/>
              </w:rPr>
            </w:pPr>
            <w:r>
              <w:rPr>
                <w:kern w:val="0"/>
                <w:sz w:val="15"/>
                <w:szCs w:val="15"/>
              </w:rPr>
              <w:t xml:space="preserve">0.00 </w:t>
            </w:r>
          </w:p>
        </w:tc>
        <w:tc>
          <w:tcPr>
            <w:tcW w:w="1259" w:type="dxa"/>
            <w:vAlign w:val="center"/>
          </w:tcPr>
          <w:p>
            <w:pPr>
              <w:pStyle w:val="19"/>
              <w:jc w:val="right"/>
              <w:rPr>
                <w:sz w:val="15"/>
                <w:szCs w:val="15"/>
              </w:rPr>
            </w:pPr>
            <w:r>
              <w:rPr>
                <w:kern w:val="0"/>
                <w:sz w:val="15"/>
                <w:szCs w:val="15"/>
              </w:rPr>
              <w:t xml:space="preserve">0.00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三、拨付所属投资借款                                                                                                                    Appropriation of Investment Loan</w:t>
            </w:r>
          </w:p>
        </w:tc>
        <w:tc>
          <w:tcPr>
            <w:tcW w:w="453" w:type="dxa"/>
            <w:vAlign w:val="center"/>
          </w:tcPr>
          <w:p>
            <w:pPr>
              <w:pStyle w:val="19"/>
              <w:widowControl/>
              <w:spacing w:line="160" w:lineRule="exact"/>
              <w:jc w:val="center"/>
              <w:rPr>
                <w:kern w:val="0"/>
                <w:sz w:val="15"/>
                <w:szCs w:val="15"/>
              </w:rPr>
            </w:pPr>
            <w:r>
              <w:rPr>
                <w:kern w:val="0"/>
                <w:sz w:val="15"/>
                <w:szCs w:val="15"/>
              </w:rPr>
              <w:t>8</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825" w:hanging="825" w:hangingChars="550"/>
              <w:jc w:val="left"/>
              <w:rPr>
                <w:kern w:val="0"/>
                <w:sz w:val="15"/>
                <w:szCs w:val="15"/>
              </w:rPr>
            </w:pPr>
            <w:r>
              <w:rPr>
                <w:kern w:val="0"/>
                <w:sz w:val="15"/>
                <w:szCs w:val="15"/>
              </w:rPr>
              <w:t xml:space="preserve">           国际复兴开发银行                                                                                                             IBRD               </w:t>
            </w:r>
          </w:p>
        </w:tc>
        <w:tc>
          <w:tcPr>
            <w:tcW w:w="420" w:type="dxa"/>
            <w:vAlign w:val="center"/>
          </w:tcPr>
          <w:p>
            <w:pPr>
              <w:pStyle w:val="19"/>
              <w:widowControl/>
              <w:spacing w:line="160" w:lineRule="exact"/>
              <w:jc w:val="center"/>
              <w:rPr>
                <w:kern w:val="0"/>
                <w:sz w:val="15"/>
                <w:szCs w:val="15"/>
              </w:rPr>
            </w:pPr>
            <w:r>
              <w:rPr>
                <w:kern w:val="0"/>
                <w:sz w:val="15"/>
                <w:szCs w:val="15"/>
              </w:rPr>
              <w:t>35</w:t>
            </w:r>
          </w:p>
        </w:tc>
        <w:tc>
          <w:tcPr>
            <w:tcW w:w="1261" w:type="dxa"/>
            <w:vAlign w:val="center"/>
          </w:tcPr>
          <w:p>
            <w:pPr>
              <w:pStyle w:val="19"/>
              <w:jc w:val="right"/>
              <w:rPr>
                <w:sz w:val="15"/>
                <w:szCs w:val="15"/>
              </w:rPr>
            </w:pPr>
            <w:r>
              <w:rPr>
                <w:sz w:val="15"/>
                <w:szCs w:val="15"/>
              </w:rPr>
              <w:t>172,068,594.30</w:t>
            </w:r>
          </w:p>
        </w:tc>
        <w:tc>
          <w:tcPr>
            <w:tcW w:w="1259" w:type="dxa"/>
            <w:vAlign w:val="center"/>
          </w:tcPr>
          <w:p>
            <w:pPr>
              <w:pStyle w:val="19"/>
              <w:jc w:val="right"/>
              <w:rPr>
                <w:sz w:val="15"/>
                <w:szCs w:val="15"/>
              </w:rPr>
            </w:pPr>
            <w:r>
              <w:rPr>
                <w:kern w:val="0"/>
                <w:sz w:val="15"/>
                <w:szCs w:val="15"/>
              </w:rPr>
              <w:t>251,627,278.17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    其中:拨付世行贷款                                                                                                                 Including :Appropriation of World Bank Investment Loan </w:t>
            </w:r>
          </w:p>
        </w:tc>
        <w:tc>
          <w:tcPr>
            <w:tcW w:w="453" w:type="dxa"/>
            <w:vAlign w:val="center"/>
          </w:tcPr>
          <w:p>
            <w:pPr>
              <w:pStyle w:val="19"/>
              <w:widowControl/>
              <w:spacing w:line="160" w:lineRule="exact"/>
              <w:jc w:val="center"/>
              <w:rPr>
                <w:kern w:val="0"/>
                <w:sz w:val="15"/>
                <w:szCs w:val="15"/>
              </w:rPr>
            </w:pPr>
            <w:r>
              <w:rPr>
                <w:kern w:val="0"/>
                <w:sz w:val="15"/>
                <w:szCs w:val="15"/>
              </w:rPr>
              <w:t>9</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825" w:hanging="825" w:hangingChars="550"/>
              <w:jc w:val="left"/>
              <w:rPr>
                <w:kern w:val="0"/>
                <w:sz w:val="15"/>
                <w:szCs w:val="15"/>
              </w:rPr>
            </w:pPr>
            <w:r>
              <w:rPr>
                <w:kern w:val="0"/>
                <w:sz w:val="15"/>
                <w:szCs w:val="15"/>
              </w:rPr>
              <w:t xml:space="preserve">           技术合作信贷                                                                                                                 Technical Cooperation                                                  </w:t>
            </w:r>
          </w:p>
        </w:tc>
        <w:tc>
          <w:tcPr>
            <w:tcW w:w="420" w:type="dxa"/>
            <w:vAlign w:val="center"/>
          </w:tcPr>
          <w:p>
            <w:pPr>
              <w:pStyle w:val="19"/>
              <w:widowControl/>
              <w:spacing w:line="160" w:lineRule="exact"/>
              <w:jc w:val="center"/>
              <w:rPr>
                <w:kern w:val="0"/>
                <w:sz w:val="15"/>
                <w:szCs w:val="15"/>
              </w:rPr>
            </w:pPr>
            <w:r>
              <w:rPr>
                <w:kern w:val="0"/>
                <w:sz w:val="15"/>
                <w:szCs w:val="15"/>
              </w:rPr>
              <w:t>36</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四、器材                                                                                                                              Equipment                                                              </w:t>
            </w:r>
          </w:p>
        </w:tc>
        <w:tc>
          <w:tcPr>
            <w:tcW w:w="453" w:type="dxa"/>
            <w:vAlign w:val="center"/>
          </w:tcPr>
          <w:p>
            <w:pPr>
              <w:pStyle w:val="19"/>
              <w:widowControl/>
              <w:spacing w:line="160" w:lineRule="exact"/>
              <w:jc w:val="center"/>
              <w:rPr>
                <w:kern w:val="0"/>
                <w:sz w:val="15"/>
                <w:szCs w:val="15"/>
              </w:rPr>
            </w:pPr>
            <w:r>
              <w:rPr>
                <w:kern w:val="0"/>
                <w:sz w:val="15"/>
                <w:szCs w:val="15"/>
              </w:rPr>
              <w:t>10</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825" w:hanging="825" w:hangingChars="550"/>
              <w:jc w:val="left"/>
              <w:rPr>
                <w:kern w:val="0"/>
                <w:sz w:val="15"/>
                <w:szCs w:val="15"/>
              </w:rPr>
            </w:pPr>
            <w:r>
              <w:rPr>
                <w:kern w:val="0"/>
                <w:sz w:val="15"/>
                <w:szCs w:val="15"/>
              </w:rPr>
              <w:t xml:space="preserve">           联合融资                                                                                                                        Co- Financing</w:t>
            </w:r>
          </w:p>
        </w:tc>
        <w:tc>
          <w:tcPr>
            <w:tcW w:w="420" w:type="dxa"/>
            <w:vAlign w:val="center"/>
          </w:tcPr>
          <w:p>
            <w:pPr>
              <w:pStyle w:val="19"/>
              <w:widowControl/>
              <w:spacing w:line="160" w:lineRule="exact"/>
              <w:jc w:val="center"/>
              <w:rPr>
                <w:kern w:val="0"/>
                <w:sz w:val="15"/>
                <w:szCs w:val="15"/>
              </w:rPr>
            </w:pPr>
            <w:r>
              <w:rPr>
                <w:kern w:val="0"/>
                <w:sz w:val="15"/>
                <w:szCs w:val="15"/>
              </w:rPr>
              <w:t>37</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    其中:待处理器材损失                                                                                                                    Including: Equipment Losses in Suspense     </w:t>
            </w:r>
          </w:p>
        </w:tc>
        <w:tc>
          <w:tcPr>
            <w:tcW w:w="453" w:type="dxa"/>
            <w:vAlign w:val="center"/>
          </w:tcPr>
          <w:p>
            <w:pPr>
              <w:pStyle w:val="19"/>
              <w:widowControl/>
              <w:spacing w:line="160" w:lineRule="exact"/>
              <w:jc w:val="center"/>
              <w:rPr>
                <w:kern w:val="0"/>
                <w:sz w:val="15"/>
                <w:szCs w:val="15"/>
              </w:rPr>
            </w:pPr>
            <w:r>
              <w:rPr>
                <w:kern w:val="0"/>
                <w:sz w:val="15"/>
                <w:szCs w:val="15"/>
              </w:rPr>
              <w:t>11</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525" w:hanging="525" w:hangingChars="350"/>
              <w:jc w:val="left"/>
              <w:rPr>
                <w:kern w:val="0"/>
                <w:sz w:val="15"/>
                <w:szCs w:val="15"/>
              </w:rPr>
            </w:pPr>
            <w:r>
              <w:rPr>
                <w:kern w:val="0"/>
                <w:sz w:val="15"/>
                <w:szCs w:val="15"/>
              </w:rPr>
              <w:t xml:space="preserve">    (2) 国内借款                                                                                                                              Domestic Loan</w:t>
            </w:r>
          </w:p>
        </w:tc>
        <w:tc>
          <w:tcPr>
            <w:tcW w:w="420" w:type="dxa"/>
            <w:vAlign w:val="center"/>
          </w:tcPr>
          <w:p>
            <w:pPr>
              <w:pStyle w:val="19"/>
              <w:widowControl/>
              <w:spacing w:line="160" w:lineRule="exact"/>
              <w:jc w:val="center"/>
              <w:rPr>
                <w:kern w:val="0"/>
                <w:sz w:val="15"/>
                <w:szCs w:val="15"/>
              </w:rPr>
            </w:pPr>
            <w:r>
              <w:rPr>
                <w:kern w:val="0"/>
                <w:sz w:val="15"/>
                <w:szCs w:val="15"/>
              </w:rPr>
              <w:t>38</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五、货币资金合计                                                                                                                          Total Cash and Bank                           </w:t>
            </w:r>
          </w:p>
        </w:tc>
        <w:tc>
          <w:tcPr>
            <w:tcW w:w="453" w:type="dxa"/>
            <w:vAlign w:val="center"/>
          </w:tcPr>
          <w:p>
            <w:pPr>
              <w:pStyle w:val="19"/>
              <w:widowControl/>
              <w:spacing w:line="160" w:lineRule="exact"/>
              <w:jc w:val="center"/>
              <w:rPr>
                <w:kern w:val="0"/>
                <w:sz w:val="15"/>
                <w:szCs w:val="15"/>
              </w:rPr>
            </w:pPr>
            <w:r>
              <w:rPr>
                <w:kern w:val="0"/>
                <w:sz w:val="15"/>
                <w:szCs w:val="15"/>
              </w:rPr>
              <w:t>12</w:t>
            </w:r>
          </w:p>
        </w:tc>
        <w:tc>
          <w:tcPr>
            <w:tcW w:w="1282" w:type="dxa"/>
            <w:vAlign w:val="center"/>
          </w:tcPr>
          <w:p>
            <w:pPr>
              <w:pStyle w:val="19"/>
              <w:spacing w:line="160" w:lineRule="exact"/>
              <w:jc w:val="right"/>
              <w:rPr>
                <w:sz w:val="15"/>
                <w:szCs w:val="15"/>
              </w:rPr>
            </w:pPr>
            <w:r>
              <w:rPr>
                <w:sz w:val="15"/>
                <w:szCs w:val="15"/>
              </w:rPr>
              <w:t>34,678,396.93</w:t>
            </w:r>
          </w:p>
        </w:tc>
        <w:tc>
          <w:tcPr>
            <w:tcW w:w="1259" w:type="dxa"/>
            <w:vAlign w:val="center"/>
          </w:tcPr>
          <w:p>
            <w:pPr>
              <w:pStyle w:val="19"/>
              <w:spacing w:line="160" w:lineRule="exact"/>
              <w:jc w:val="right"/>
              <w:rPr>
                <w:sz w:val="15"/>
                <w:szCs w:val="15"/>
              </w:rPr>
            </w:pPr>
            <w:r>
              <w:rPr>
                <w:sz w:val="15"/>
                <w:szCs w:val="15"/>
              </w:rPr>
              <w:t>49,757,547.84</w:t>
            </w:r>
          </w:p>
        </w:tc>
        <w:tc>
          <w:tcPr>
            <w:tcW w:w="2102"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2. 其他借款                                                                                                                                  Other Loan</w:t>
            </w:r>
          </w:p>
        </w:tc>
        <w:tc>
          <w:tcPr>
            <w:tcW w:w="420" w:type="dxa"/>
            <w:vAlign w:val="center"/>
          </w:tcPr>
          <w:p>
            <w:pPr>
              <w:pStyle w:val="19"/>
              <w:widowControl/>
              <w:spacing w:line="160" w:lineRule="exact"/>
              <w:jc w:val="center"/>
              <w:rPr>
                <w:kern w:val="0"/>
                <w:sz w:val="15"/>
                <w:szCs w:val="15"/>
              </w:rPr>
            </w:pPr>
            <w:r>
              <w:rPr>
                <w:kern w:val="0"/>
                <w:sz w:val="15"/>
                <w:szCs w:val="15"/>
              </w:rPr>
              <w:t>39</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1. 银行存款                                                                                                                          Cash in Bank      </w:t>
            </w:r>
          </w:p>
        </w:tc>
        <w:tc>
          <w:tcPr>
            <w:tcW w:w="453" w:type="dxa"/>
            <w:vAlign w:val="center"/>
          </w:tcPr>
          <w:p>
            <w:pPr>
              <w:pStyle w:val="19"/>
              <w:widowControl/>
              <w:spacing w:line="160" w:lineRule="exact"/>
              <w:jc w:val="center"/>
              <w:rPr>
                <w:kern w:val="0"/>
                <w:sz w:val="15"/>
                <w:szCs w:val="15"/>
              </w:rPr>
            </w:pPr>
            <w:r>
              <w:rPr>
                <w:kern w:val="0"/>
                <w:sz w:val="15"/>
                <w:szCs w:val="15"/>
              </w:rPr>
              <w:t>13</w:t>
            </w:r>
          </w:p>
        </w:tc>
        <w:tc>
          <w:tcPr>
            <w:tcW w:w="1282" w:type="dxa"/>
            <w:vAlign w:val="center"/>
          </w:tcPr>
          <w:p>
            <w:pPr>
              <w:pStyle w:val="19"/>
              <w:spacing w:line="160" w:lineRule="exact"/>
              <w:jc w:val="right"/>
              <w:rPr>
                <w:sz w:val="15"/>
                <w:szCs w:val="15"/>
              </w:rPr>
            </w:pPr>
            <w:r>
              <w:rPr>
                <w:sz w:val="15"/>
                <w:szCs w:val="15"/>
              </w:rPr>
              <w:t>34,678,396.93</w:t>
            </w:r>
          </w:p>
        </w:tc>
        <w:tc>
          <w:tcPr>
            <w:tcW w:w="1259" w:type="dxa"/>
            <w:vAlign w:val="center"/>
          </w:tcPr>
          <w:p>
            <w:pPr>
              <w:pStyle w:val="19"/>
              <w:spacing w:line="160" w:lineRule="exact"/>
              <w:jc w:val="right"/>
              <w:rPr>
                <w:sz w:val="15"/>
                <w:szCs w:val="15"/>
              </w:rPr>
            </w:pPr>
            <w:r>
              <w:rPr>
                <w:sz w:val="15"/>
                <w:szCs w:val="15"/>
              </w:rPr>
              <w:t>49,757,547.84</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四、上级拨入投资借款                                                                                                                           Appropriation of Investment Loan                                                </w:t>
            </w:r>
          </w:p>
        </w:tc>
        <w:tc>
          <w:tcPr>
            <w:tcW w:w="420" w:type="dxa"/>
            <w:vAlign w:val="center"/>
          </w:tcPr>
          <w:p>
            <w:pPr>
              <w:pStyle w:val="19"/>
              <w:widowControl/>
              <w:spacing w:line="160" w:lineRule="exact"/>
              <w:jc w:val="center"/>
              <w:rPr>
                <w:kern w:val="0"/>
                <w:sz w:val="15"/>
                <w:szCs w:val="15"/>
              </w:rPr>
            </w:pPr>
            <w:r>
              <w:rPr>
                <w:kern w:val="0"/>
                <w:sz w:val="15"/>
                <w:szCs w:val="15"/>
              </w:rPr>
              <w:t>40</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375" w:hanging="375" w:hangingChars="250"/>
              <w:jc w:val="left"/>
              <w:rPr>
                <w:kern w:val="0"/>
                <w:sz w:val="15"/>
                <w:szCs w:val="15"/>
              </w:rPr>
            </w:pPr>
            <w:r>
              <w:rPr>
                <w:kern w:val="0"/>
                <w:sz w:val="15"/>
                <w:szCs w:val="15"/>
              </w:rPr>
              <w:t xml:space="preserve">     其中:专用账户存款                                                                                                           Including: Special Account          </w:t>
            </w:r>
          </w:p>
        </w:tc>
        <w:tc>
          <w:tcPr>
            <w:tcW w:w="453" w:type="dxa"/>
            <w:vAlign w:val="center"/>
          </w:tcPr>
          <w:p>
            <w:pPr>
              <w:pStyle w:val="19"/>
              <w:widowControl/>
              <w:spacing w:line="160" w:lineRule="exact"/>
              <w:jc w:val="center"/>
              <w:rPr>
                <w:kern w:val="0"/>
                <w:sz w:val="15"/>
                <w:szCs w:val="15"/>
              </w:rPr>
            </w:pPr>
            <w:r>
              <w:rPr>
                <w:kern w:val="0"/>
                <w:sz w:val="15"/>
                <w:szCs w:val="15"/>
              </w:rPr>
              <w:t>14</w:t>
            </w:r>
          </w:p>
        </w:tc>
        <w:tc>
          <w:tcPr>
            <w:tcW w:w="1282" w:type="dxa"/>
            <w:vAlign w:val="center"/>
          </w:tcPr>
          <w:p>
            <w:pPr>
              <w:pStyle w:val="19"/>
              <w:spacing w:line="160" w:lineRule="exact"/>
              <w:jc w:val="right"/>
              <w:rPr>
                <w:sz w:val="15"/>
                <w:szCs w:val="15"/>
              </w:rPr>
            </w:pPr>
            <w:r>
              <w:rPr>
                <w:sz w:val="15"/>
                <w:szCs w:val="15"/>
              </w:rPr>
              <w:t>23,855,592.08</w:t>
            </w:r>
          </w:p>
        </w:tc>
        <w:tc>
          <w:tcPr>
            <w:tcW w:w="1259" w:type="dxa"/>
            <w:vAlign w:val="center"/>
          </w:tcPr>
          <w:p>
            <w:pPr>
              <w:pStyle w:val="19"/>
              <w:spacing w:line="160" w:lineRule="exact"/>
              <w:jc w:val="right"/>
              <w:rPr>
                <w:sz w:val="15"/>
                <w:szCs w:val="15"/>
              </w:rPr>
            </w:pPr>
            <w:r>
              <w:rPr>
                <w:sz w:val="15"/>
                <w:szCs w:val="15"/>
              </w:rPr>
              <w:t>45,099,801.94</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    其中:拨入世行贷款                                                                                                                   Including: World Bank Loan                                                        </w:t>
            </w:r>
          </w:p>
        </w:tc>
        <w:tc>
          <w:tcPr>
            <w:tcW w:w="420" w:type="dxa"/>
            <w:vAlign w:val="center"/>
          </w:tcPr>
          <w:p>
            <w:pPr>
              <w:pStyle w:val="19"/>
              <w:widowControl/>
              <w:spacing w:line="160" w:lineRule="exact"/>
              <w:jc w:val="center"/>
              <w:rPr>
                <w:kern w:val="0"/>
                <w:sz w:val="15"/>
                <w:szCs w:val="15"/>
              </w:rPr>
            </w:pPr>
            <w:r>
              <w:rPr>
                <w:kern w:val="0"/>
                <w:sz w:val="15"/>
                <w:szCs w:val="15"/>
              </w:rPr>
              <w:t>41</w:t>
            </w:r>
          </w:p>
        </w:tc>
        <w:tc>
          <w:tcPr>
            <w:tcW w:w="1261" w:type="dxa"/>
            <w:vAlign w:val="center"/>
          </w:tcPr>
          <w:p>
            <w:pPr>
              <w:pStyle w:val="19"/>
              <w:jc w:val="right"/>
              <w:rPr>
                <w:sz w:val="15"/>
                <w:szCs w:val="15"/>
              </w:rPr>
            </w:pPr>
            <w:r>
              <w:rPr>
                <w:kern w:val="0"/>
                <w:sz w:val="15"/>
                <w:szCs w:val="15"/>
              </w:rPr>
              <w:t>0.00</w:t>
            </w:r>
          </w:p>
        </w:tc>
        <w:tc>
          <w:tcPr>
            <w:tcW w:w="1259" w:type="dxa"/>
            <w:vAlign w:val="center"/>
          </w:tcPr>
          <w:p>
            <w:pPr>
              <w:pStyle w:val="19"/>
              <w:jc w:val="right"/>
              <w:rPr>
                <w:sz w:val="15"/>
                <w:szCs w:val="15"/>
              </w:rPr>
            </w:pPr>
            <w:r>
              <w:rPr>
                <w:kern w:val="0"/>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1" w:type="dxa"/>
            <w:vAlign w:val="center"/>
          </w:tcPr>
          <w:p>
            <w:pPr>
              <w:pStyle w:val="19"/>
              <w:widowControl/>
              <w:spacing w:line="160" w:lineRule="exact"/>
              <w:ind w:left="450" w:hanging="450" w:hangingChars="300"/>
              <w:jc w:val="left"/>
              <w:rPr>
                <w:kern w:val="0"/>
                <w:sz w:val="15"/>
                <w:szCs w:val="15"/>
              </w:rPr>
            </w:pPr>
            <w:r>
              <w:rPr>
                <w:kern w:val="0"/>
                <w:sz w:val="15"/>
                <w:szCs w:val="15"/>
              </w:rPr>
              <w:t xml:space="preserve">    2. 现金                                                                                                                                    Cash on Hand                                  </w:t>
            </w:r>
          </w:p>
        </w:tc>
        <w:tc>
          <w:tcPr>
            <w:tcW w:w="453" w:type="dxa"/>
            <w:vAlign w:val="center"/>
          </w:tcPr>
          <w:p>
            <w:pPr>
              <w:pStyle w:val="19"/>
              <w:widowControl/>
              <w:spacing w:line="160" w:lineRule="exact"/>
              <w:jc w:val="center"/>
              <w:rPr>
                <w:kern w:val="0"/>
                <w:sz w:val="15"/>
                <w:szCs w:val="15"/>
              </w:rPr>
            </w:pPr>
            <w:r>
              <w:rPr>
                <w:kern w:val="0"/>
                <w:sz w:val="15"/>
                <w:szCs w:val="15"/>
              </w:rPr>
              <w:t>15</w:t>
            </w:r>
          </w:p>
        </w:tc>
        <w:tc>
          <w:tcPr>
            <w:tcW w:w="1282" w:type="dxa"/>
            <w:vAlign w:val="center"/>
          </w:tcPr>
          <w:p>
            <w:pPr>
              <w:pStyle w:val="19"/>
              <w:spacing w:line="160" w:lineRule="exact"/>
              <w:jc w:val="right"/>
              <w:rPr>
                <w:sz w:val="15"/>
                <w:szCs w:val="15"/>
              </w:rPr>
            </w:pPr>
            <w:r>
              <w:rPr>
                <w:sz w:val="15"/>
                <w:szCs w:val="15"/>
              </w:rPr>
              <w:t>0.00</w:t>
            </w:r>
          </w:p>
        </w:tc>
        <w:tc>
          <w:tcPr>
            <w:tcW w:w="1259" w:type="dxa"/>
            <w:vAlign w:val="center"/>
          </w:tcPr>
          <w:p>
            <w:pPr>
              <w:pStyle w:val="19"/>
              <w:spacing w:line="160" w:lineRule="exact"/>
              <w:jc w:val="right"/>
              <w:rPr>
                <w:sz w:val="15"/>
                <w:szCs w:val="15"/>
              </w:rPr>
            </w:pPr>
            <w:r>
              <w:rPr>
                <w:sz w:val="15"/>
                <w:szCs w:val="15"/>
              </w:rPr>
              <w:t>0.00</w:t>
            </w:r>
          </w:p>
        </w:tc>
        <w:tc>
          <w:tcPr>
            <w:tcW w:w="2102" w:type="dxa"/>
            <w:vAlign w:val="center"/>
          </w:tcPr>
          <w:p>
            <w:pPr>
              <w:pStyle w:val="19"/>
              <w:widowControl/>
              <w:spacing w:line="160" w:lineRule="exact"/>
              <w:ind w:left="300" w:hanging="300" w:hangingChars="200"/>
              <w:jc w:val="left"/>
              <w:rPr>
                <w:kern w:val="0"/>
                <w:sz w:val="15"/>
                <w:szCs w:val="15"/>
              </w:rPr>
            </w:pPr>
            <w:r>
              <w:rPr>
                <w:kern w:val="0"/>
                <w:sz w:val="15"/>
                <w:szCs w:val="15"/>
              </w:rPr>
              <w:t xml:space="preserve">五、企业债券资金                                                                                                                                  Bond Fund                                                     </w:t>
            </w:r>
          </w:p>
        </w:tc>
        <w:tc>
          <w:tcPr>
            <w:tcW w:w="420" w:type="dxa"/>
            <w:vAlign w:val="center"/>
          </w:tcPr>
          <w:p>
            <w:pPr>
              <w:pStyle w:val="19"/>
              <w:widowControl/>
              <w:spacing w:line="160" w:lineRule="exact"/>
              <w:jc w:val="center"/>
              <w:rPr>
                <w:kern w:val="0"/>
                <w:sz w:val="15"/>
                <w:szCs w:val="15"/>
              </w:rPr>
            </w:pPr>
            <w:r>
              <w:rPr>
                <w:kern w:val="0"/>
                <w:sz w:val="15"/>
                <w:szCs w:val="15"/>
              </w:rPr>
              <w:t>42</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jc w:val="right"/>
              <w:rPr>
                <w:sz w:val="15"/>
                <w:szCs w:val="15"/>
              </w:rPr>
            </w:pPr>
            <w:r>
              <w:rPr>
                <w:rFonts w:hint="eastAsia"/>
                <w:kern w:val="0"/>
                <w:sz w:val="15"/>
                <w:szCs w:val="15"/>
              </w:rPr>
              <w:t>0.00</w:t>
            </w:r>
          </w:p>
        </w:tc>
      </w:tr>
    </w:tbl>
    <w:p>
      <w:pPr>
        <w:pStyle w:val="19"/>
        <w:widowControl/>
        <w:ind w:left="-30" w:leftChars="-86" w:hanging="150" w:hangingChars="100"/>
        <w:jc w:val="left"/>
        <w:rPr>
          <w:sz w:val="15"/>
          <w:szCs w:val="15"/>
        </w:rPr>
      </w:pPr>
      <w:r>
        <w:rPr>
          <w:rFonts w:hint="eastAsia" w:eastAsia="仿宋_GB2312"/>
          <w:sz w:val="15"/>
          <w:szCs w:val="15"/>
        </w:rPr>
        <w:t>后续（To be continued）</w:t>
      </w:r>
    </w:p>
    <w:tbl>
      <w:tblPr>
        <w:tblStyle w:val="6"/>
        <w:tblW w:w="10437" w:type="dxa"/>
        <w:tblInd w:w="-53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400"/>
        <w:gridCol w:w="452"/>
        <w:gridCol w:w="1284"/>
        <w:gridCol w:w="1259"/>
        <w:gridCol w:w="2100"/>
        <w:gridCol w:w="422"/>
        <w:gridCol w:w="1261"/>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六、预付及应收款合计                                                                                                                    Total Prepaid and Receivable                                                </w:t>
            </w:r>
          </w:p>
        </w:tc>
        <w:tc>
          <w:tcPr>
            <w:tcW w:w="452" w:type="dxa"/>
            <w:vAlign w:val="center"/>
          </w:tcPr>
          <w:p>
            <w:pPr>
              <w:pStyle w:val="19"/>
              <w:widowControl/>
              <w:spacing w:line="240" w:lineRule="exact"/>
              <w:jc w:val="center"/>
              <w:rPr>
                <w:kern w:val="0"/>
                <w:sz w:val="15"/>
                <w:szCs w:val="15"/>
              </w:rPr>
            </w:pPr>
            <w:r>
              <w:rPr>
                <w:kern w:val="0"/>
                <w:sz w:val="15"/>
                <w:szCs w:val="15"/>
              </w:rPr>
              <w:t>16</w:t>
            </w:r>
          </w:p>
        </w:tc>
        <w:tc>
          <w:tcPr>
            <w:tcW w:w="1284" w:type="dxa"/>
            <w:vAlign w:val="center"/>
          </w:tcPr>
          <w:p>
            <w:pPr>
              <w:pStyle w:val="19"/>
              <w:spacing w:line="160" w:lineRule="exact"/>
              <w:jc w:val="right"/>
              <w:rPr>
                <w:sz w:val="15"/>
                <w:szCs w:val="15"/>
              </w:rPr>
            </w:pPr>
            <w:r>
              <w:rPr>
                <w:sz w:val="15"/>
                <w:szCs w:val="15"/>
              </w:rPr>
              <w:t xml:space="preserve">25,947,251.57 </w:t>
            </w:r>
          </w:p>
        </w:tc>
        <w:tc>
          <w:tcPr>
            <w:tcW w:w="1259" w:type="dxa"/>
            <w:vAlign w:val="center"/>
          </w:tcPr>
          <w:p>
            <w:pPr>
              <w:pStyle w:val="19"/>
              <w:spacing w:line="160" w:lineRule="exact"/>
              <w:jc w:val="right"/>
              <w:rPr>
                <w:sz w:val="15"/>
                <w:szCs w:val="15"/>
              </w:rPr>
            </w:pPr>
            <w:r>
              <w:rPr>
                <w:sz w:val="15"/>
                <w:szCs w:val="15"/>
              </w:rPr>
              <w:t>17,709,842.62</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六、待冲项目支出                                                                                                                            Construction Expenditures to be Offset                                                    </w:t>
            </w:r>
          </w:p>
        </w:tc>
        <w:tc>
          <w:tcPr>
            <w:tcW w:w="422" w:type="dxa"/>
            <w:vAlign w:val="center"/>
          </w:tcPr>
          <w:p>
            <w:pPr>
              <w:pStyle w:val="19"/>
              <w:widowControl/>
              <w:spacing w:line="240" w:lineRule="exact"/>
              <w:jc w:val="center"/>
              <w:rPr>
                <w:kern w:val="0"/>
                <w:sz w:val="15"/>
                <w:szCs w:val="15"/>
              </w:rPr>
            </w:pPr>
            <w:r>
              <w:rPr>
                <w:kern w:val="0"/>
                <w:sz w:val="15"/>
                <w:szCs w:val="15"/>
              </w:rPr>
              <w:t>43</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    其中:应收世行贷款利息                                                                                                          Including: World Bank Loan Interest Receivable</w:t>
            </w:r>
          </w:p>
        </w:tc>
        <w:tc>
          <w:tcPr>
            <w:tcW w:w="452" w:type="dxa"/>
            <w:vAlign w:val="center"/>
          </w:tcPr>
          <w:p>
            <w:pPr>
              <w:pStyle w:val="19"/>
              <w:widowControl/>
              <w:spacing w:line="240" w:lineRule="exact"/>
              <w:jc w:val="center"/>
              <w:rPr>
                <w:kern w:val="0"/>
                <w:sz w:val="15"/>
                <w:szCs w:val="15"/>
              </w:rPr>
            </w:pPr>
            <w:r>
              <w:rPr>
                <w:kern w:val="0"/>
                <w:sz w:val="15"/>
                <w:szCs w:val="15"/>
              </w:rPr>
              <w:t>17</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七、应付款合计                                                                                                                               Total Payables                                                    </w:t>
            </w:r>
          </w:p>
        </w:tc>
        <w:tc>
          <w:tcPr>
            <w:tcW w:w="422" w:type="dxa"/>
            <w:vAlign w:val="center"/>
          </w:tcPr>
          <w:p>
            <w:pPr>
              <w:pStyle w:val="19"/>
              <w:widowControl/>
              <w:spacing w:line="240" w:lineRule="exact"/>
              <w:jc w:val="center"/>
              <w:rPr>
                <w:kern w:val="0"/>
                <w:sz w:val="15"/>
                <w:szCs w:val="15"/>
              </w:rPr>
            </w:pPr>
            <w:r>
              <w:rPr>
                <w:kern w:val="0"/>
                <w:sz w:val="15"/>
                <w:szCs w:val="15"/>
              </w:rPr>
              <w:t>44</w:t>
            </w:r>
          </w:p>
        </w:tc>
        <w:tc>
          <w:tcPr>
            <w:tcW w:w="1261" w:type="dxa"/>
            <w:vAlign w:val="center"/>
          </w:tcPr>
          <w:p>
            <w:pPr>
              <w:pStyle w:val="19"/>
              <w:spacing w:line="240" w:lineRule="exact"/>
              <w:jc w:val="right"/>
              <w:rPr>
                <w:kern w:val="0"/>
                <w:sz w:val="15"/>
                <w:szCs w:val="15"/>
              </w:rPr>
            </w:pPr>
            <w:r>
              <w:rPr>
                <w:sz w:val="15"/>
                <w:szCs w:val="15"/>
              </w:rPr>
              <w:t>17,364,822.73</w:t>
            </w:r>
          </w:p>
        </w:tc>
        <w:tc>
          <w:tcPr>
            <w:tcW w:w="1259" w:type="dxa"/>
            <w:vAlign w:val="center"/>
          </w:tcPr>
          <w:p>
            <w:pPr>
              <w:pStyle w:val="19"/>
              <w:spacing w:line="240" w:lineRule="exact"/>
              <w:jc w:val="right"/>
              <w:rPr>
                <w:sz w:val="15"/>
                <w:szCs w:val="15"/>
              </w:rPr>
            </w:pPr>
            <w:r>
              <w:rPr>
                <w:sz w:val="15"/>
                <w:szCs w:val="15"/>
              </w:rPr>
              <w:t>42,754,041.85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600" w:hanging="600" w:hangingChars="400"/>
              <w:jc w:val="left"/>
              <w:rPr>
                <w:kern w:val="0"/>
                <w:sz w:val="15"/>
                <w:szCs w:val="15"/>
              </w:rPr>
            </w:pPr>
            <w:r>
              <w:rPr>
                <w:kern w:val="0"/>
                <w:sz w:val="15"/>
                <w:szCs w:val="15"/>
              </w:rPr>
              <w:t xml:space="preserve">        应收世行贷款承诺费                                                                                                              World Bank Loan Commitment Fee Receivable                                                  </w:t>
            </w:r>
          </w:p>
        </w:tc>
        <w:tc>
          <w:tcPr>
            <w:tcW w:w="452" w:type="dxa"/>
            <w:vAlign w:val="center"/>
          </w:tcPr>
          <w:p>
            <w:pPr>
              <w:pStyle w:val="19"/>
              <w:widowControl/>
              <w:spacing w:line="240" w:lineRule="exact"/>
              <w:jc w:val="center"/>
              <w:rPr>
                <w:kern w:val="0"/>
                <w:sz w:val="15"/>
                <w:szCs w:val="15"/>
              </w:rPr>
            </w:pPr>
            <w:r>
              <w:rPr>
                <w:kern w:val="0"/>
                <w:sz w:val="15"/>
                <w:szCs w:val="15"/>
              </w:rPr>
              <w:t>18</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    其中:应付世行贷款利息                                                                                                             Including: World Bank Loan Interest Payables                                                 </w:t>
            </w:r>
          </w:p>
        </w:tc>
        <w:tc>
          <w:tcPr>
            <w:tcW w:w="422" w:type="dxa"/>
            <w:vAlign w:val="center"/>
          </w:tcPr>
          <w:p>
            <w:pPr>
              <w:pStyle w:val="19"/>
              <w:widowControl/>
              <w:spacing w:line="240" w:lineRule="exact"/>
              <w:jc w:val="center"/>
              <w:rPr>
                <w:kern w:val="0"/>
                <w:sz w:val="15"/>
                <w:szCs w:val="15"/>
              </w:rPr>
            </w:pPr>
            <w:r>
              <w:rPr>
                <w:kern w:val="0"/>
                <w:sz w:val="15"/>
                <w:szCs w:val="15"/>
              </w:rPr>
              <w:t>45</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525" w:hanging="525" w:hangingChars="350"/>
              <w:jc w:val="left"/>
              <w:rPr>
                <w:kern w:val="0"/>
                <w:sz w:val="15"/>
                <w:szCs w:val="15"/>
              </w:rPr>
            </w:pPr>
            <w:r>
              <w:rPr>
                <w:kern w:val="0"/>
                <w:sz w:val="15"/>
                <w:szCs w:val="15"/>
              </w:rPr>
              <w:t xml:space="preserve">       应收世行贷款资金占用费                                                                                                              World Bank Loan Service- Fee Receivable                           </w:t>
            </w:r>
          </w:p>
        </w:tc>
        <w:tc>
          <w:tcPr>
            <w:tcW w:w="452" w:type="dxa"/>
            <w:vAlign w:val="center"/>
          </w:tcPr>
          <w:p>
            <w:pPr>
              <w:pStyle w:val="19"/>
              <w:widowControl/>
              <w:spacing w:line="240" w:lineRule="exact"/>
              <w:jc w:val="center"/>
              <w:rPr>
                <w:kern w:val="0"/>
                <w:sz w:val="15"/>
                <w:szCs w:val="15"/>
              </w:rPr>
            </w:pPr>
            <w:r>
              <w:rPr>
                <w:kern w:val="0"/>
                <w:sz w:val="15"/>
                <w:szCs w:val="15"/>
              </w:rPr>
              <w:t>19</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600" w:hanging="600" w:hangingChars="400"/>
              <w:jc w:val="left"/>
              <w:rPr>
                <w:kern w:val="0"/>
                <w:sz w:val="15"/>
                <w:szCs w:val="15"/>
              </w:rPr>
            </w:pPr>
            <w:r>
              <w:rPr>
                <w:kern w:val="0"/>
                <w:sz w:val="15"/>
                <w:szCs w:val="15"/>
              </w:rPr>
              <w:t xml:space="preserve">        应付世行贷款承诺费                                                                                                                                 World Bank Loan Commitment Fee Payables                                                    </w:t>
            </w:r>
          </w:p>
        </w:tc>
        <w:tc>
          <w:tcPr>
            <w:tcW w:w="422" w:type="dxa"/>
            <w:vAlign w:val="center"/>
          </w:tcPr>
          <w:p>
            <w:pPr>
              <w:pStyle w:val="19"/>
              <w:widowControl/>
              <w:spacing w:line="240" w:lineRule="exact"/>
              <w:jc w:val="center"/>
              <w:rPr>
                <w:kern w:val="0"/>
                <w:sz w:val="15"/>
                <w:szCs w:val="15"/>
              </w:rPr>
            </w:pPr>
            <w:r>
              <w:rPr>
                <w:kern w:val="0"/>
                <w:sz w:val="15"/>
                <w:szCs w:val="15"/>
              </w:rPr>
              <w:t>46</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七、有价证券                                                                                                                              Marketable Securities                                                          </w:t>
            </w:r>
          </w:p>
        </w:tc>
        <w:tc>
          <w:tcPr>
            <w:tcW w:w="452" w:type="dxa"/>
            <w:vAlign w:val="center"/>
          </w:tcPr>
          <w:p>
            <w:pPr>
              <w:pStyle w:val="19"/>
              <w:widowControl/>
              <w:spacing w:line="240" w:lineRule="exact"/>
              <w:jc w:val="center"/>
              <w:rPr>
                <w:kern w:val="0"/>
                <w:sz w:val="15"/>
                <w:szCs w:val="15"/>
              </w:rPr>
            </w:pPr>
            <w:r>
              <w:rPr>
                <w:kern w:val="0"/>
                <w:sz w:val="15"/>
                <w:szCs w:val="15"/>
              </w:rPr>
              <w:t>20</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75" w:hanging="375" w:hangingChars="250"/>
              <w:jc w:val="left"/>
              <w:rPr>
                <w:kern w:val="0"/>
                <w:sz w:val="15"/>
                <w:szCs w:val="15"/>
              </w:rPr>
            </w:pPr>
            <w:r>
              <w:rPr>
                <w:kern w:val="0"/>
                <w:sz w:val="15"/>
                <w:szCs w:val="15"/>
              </w:rPr>
              <w:t xml:space="preserve">     应付世行贷款资金占用费                                                                                                         World Bank Loan Service Fee Payables                                          </w:t>
            </w:r>
          </w:p>
        </w:tc>
        <w:tc>
          <w:tcPr>
            <w:tcW w:w="422" w:type="dxa"/>
            <w:vAlign w:val="center"/>
          </w:tcPr>
          <w:p>
            <w:pPr>
              <w:pStyle w:val="19"/>
              <w:widowControl/>
              <w:spacing w:line="240" w:lineRule="exact"/>
              <w:jc w:val="center"/>
              <w:rPr>
                <w:kern w:val="0"/>
                <w:sz w:val="15"/>
                <w:szCs w:val="15"/>
              </w:rPr>
            </w:pPr>
            <w:r>
              <w:rPr>
                <w:kern w:val="0"/>
                <w:sz w:val="15"/>
                <w:szCs w:val="15"/>
              </w:rPr>
              <w:t>47</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八、固定资产合计                                                                                                                         Total Fixed Assets                                                    </w:t>
            </w:r>
          </w:p>
        </w:tc>
        <w:tc>
          <w:tcPr>
            <w:tcW w:w="452" w:type="dxa"/>
            <w:vAlign w:val="center"/>
          </w:tcPr>
          <w:p>
            <w:pPr>
              <w:pStyle w:val="19"/>
              <w:widowControl/>
              <w:spacing w:line="240" w:lineRule="exact"/>
              <w:jc w:val="center"/>
              <w:rPr>
                <w:kern w:val="0"/>
                <w:sz w:val="15"/>
                <w:szCs w:val="15"/>
              </w:rPr>
            </w:pPr>
            <w:r>
              <w:rPr>
                <w:kern w:val="0"/>
                <w:sz w:val="15"/>
                <w:szCs w:val="15"/>
              </w:rPr>
              <w:t>21</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八、未交款合计                                                                                                                                Total Other Payables</w:t>
            </w:r>
          </w:p>
        </w:tc>
        <w:tc>
          <w:tcPr>
            <w:tcW w:w="422" w:type="dxa"/>
            <w:vAlign w:val="center"/>
          </w:tcPr>
          <w:p>
            <w:pPr>
              <w:pStyle w:val="19"/>
              <w:widowControl/>
              <w:spacing w:line="240" w:lineRule="exact"/>
              <w:jc w:val="center"/>
              <w:rPr>
                <w:kern w:val="0"/>
                <w:sz w:val="15"/>
                <w:szCs w:val="15"/>
              </w:rPr>
            </w:pPr>
            <w:r>
              <w:rPr>
                <w:kern w:val="0"/>
                <w:sz w:val="15"/>
                <w:szCs w:val="15"/>
              </w:rPr>
              <w:t>48</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    固定资产原价                                                                                                                           Fixed Assets, Cost      </w:t>
            </w:r>
          </w:p>
        </w:tc>
        <w:tc>
          <w:tcPr>
            <w:tcW w:w="452" w:type="dxa"/>
            <w:vAlign w:val="center"/>
          </w:tcPr>
          <w:p>
            <w:pPr>
              <w:pStyle w:val="19"/>
              <w:widowControl/>
              <w:spacing w:line="240" w:lineRule="exact"/>
              <w:jc w:val="center"/>
              <w:rPr>
                <w:kern w:val="0"/>
                <w:sz w:val="15"/>
                <w:szCs w:val="15"/>
              </w:rPr>
            </w:pPr>
            <w:r>
              <w:rPr>
                <w:kern w:val="0"/>
                <w:sz w:val="15"/>
                <w:szCs w:val="15"/>
              </w:rPr>
              <w:t>22</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九、上级拨入资金                                                                                                                    Appropriation of Fund                                                        </w:t>
            </w:r>
          </w:p>
        </w:tc>
        <w:tc>
          <w:tcPr>
            <w:tcW w:w="422" w:type="dxa"/>
            <w:vAlign w:val="center"/>
          </w:tcPr>
          <w:p>
            <w:pPr>
              <w:pStyle w:val="19"/>
              <w:widowControl/>
              <w:spacing w:line="240" w:lineRule="exact"/>
              <w:jc w:val="center"/>
              <w:rPr>
                <w:kern w:val="0"/>
                <w:sz w:val="15"/>
                <w:szCs w:val="15"/>
              </w:rPr>
            </w:pPr>
            <w:r>
              <w:rPr>
                <w:kern w:val="0"/>
                <w:sz w:val="15"/>
                <w:szCs w:val="15"/>
              </w:rPr>
              <w:t>49</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450" w:hanging="450" w:hangingChars="300"/>
              <w:jc w:val="left"/>
              <w:rPr>
                <w:kern w:val="0"/>
                <w:sz w:val="15"/>
                <w:szCs w:val="15"/>
              </w:rPr>
            </w:pPr>
            <w:r>
              <w:rPr>
                <w:kern w:val="0"/>
                <w:sz w:val="15"/>
                <w:szCs w:val="15"/>
              </w:rPr>
              <w:t xml:space="preserve">      减:累计折旧                                                                                                                             Less: Accumulated Depreciation                                        </w:t>
            </w:r>
          </w:p>
        </w:tc>
        <w:tc>
          <w:tcPr>
            <w:tcW w:w="452" w:type="dxa"/>
            <w:vAlign w:val="center"/>
          </w:tcPr>
          <w:p>
            <w:pPr>
              <w:pStyle w:val="19"/>
              <w:widowControl/>
              <w:spacing w:line="240" w:lineRule="exact"/>
              <w:jc w:val="center"/>
              <w:rPr>
                <w:kern w:val="0"/>
                <w:sz w:val="15"/>
                <w:szCs w:val="15"/>
              </w:rPr>
            </w:pPr>
            <w:r>
              <w:rPr>
                <w:kern w:val="0"/>
                <w:sz w:val="15"/>
                <w:szCs w:val="15"/>
              </w:rPr>
              <w:t>23</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十、留成收入                                                                                                                            Retained Earnings                            </w:t>
            </w:r>
          </w:p>
        </w:tc>
        <w:tc>
          <w:tcPr>
            <w:tcW w:w="422" w:type="dxa"/>
            <w:vAlign w:val="center"/>
          </w:tcPr>
          <w:p>
            <w:pPr>
              <w:pStyle w:val="19"/>
              <w:widowControl/>
              <w:spacing w:line="240" w:lineRule="exact"/>
              <w:jc w:val="center"/>
              <w:rPr>
                <w:kern w:val="0"/>
                <w:sz w:val="15"/>
                <w:szCs w:val="15"/>
              </w:rPr>
            </w:pPr>
            <w:r>
              <w:rPr>
                <w:kern w:val="0"/>
                <w:sz w:val="15"/>
                <w:szCs w:val="15"/>
              </w:rPr>
              <w:t>50</w:t>
            </w:r>
          </w:p>
        </w:tc>
        <w:tc>
          <w:tcPr>
            <w:tcW w:w="1261" w:type="dxa"/>
            <w:vAlign w:val="center"/>
          </w:tcPr>
          <w:p>
            <w:pPr>
              <w:pStyle w:val="19"/>
              <w:jc w:val="right"/>
              <w:rPr>
                <w:sz w:val="15"/>
                <w:szCs w:val="15"/>
              </w:rPr>
            </w:pPr>
            <w:r>
              <w:rPr>
                <w:sz w:val="15"/>
                <w:szCs w:val="15"/>
              </w:rPr>
              <w:t>20,983.34</w:t>
            </w:r>
          </w:p>
        </w:tc>
        <w:tc>
          <w:tcPr>
            <w:tcW w:w="1259" w:type="dxa"/>
            <w:vAlign w:val="center"/>
          </w:tcPr>
          <w:p>
            <w:pPr>
              <w:pStyle w:val="19"/>
              <w:spacing w:line="240" w:lineRule="exact"/>
              <w:ind w:right="180"/>
              <w:jc w:val="right"/>
              <w:rPr>
                <w:sz w:val="15"/>
                <w:szCs w:val="15"/>
              </w:rPr>
            </w:pPr>
            <w:r>
              <w:rPr>
                <w:sz w:val="15"/>
                <w:szCs w:val="15"/>
              </w:rPr>
              <w:t>34,594.35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    固定资产净值                                                                                                    Fixed Assets, Net                                                       </w:t>
            </w:r>
          </w:p>
        </w:tc>
        <w:tc>
          <w:tcPr>
            <w:tcW w:w="452" w:type="dxa"/>
            <w:vAlign w:val="center"/>
          </w:tcPr>
          <w:p>
            <w:pPr>
              <w:pStyle w:val="19"/>
              <w:widowControl/>
              <w:spacing w:line="240" w:lineRule="exact"/>
              <w:jc w:val="center"/>
              <w:rPr>
                <w:kern w:val="0"/>
                <w:sz w:val="15"/>
                <w:szCs w:val="15"/>
              </w:rPr>
            </w:pPr>
            <w:r>
              <w:rPr>
                <w:kern w:val="0"/>
                <w:sz w:val="15"/>
                <w:szCs w:val="15"/>
              </w:rPr>
              <w:t>24</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jc w:val="center"/>
              <w:rPr>
                <w:kern w:val="0"/>
                <w:sz w:val="15"/>
                <w:szCs w:val="15"/>
              </w:rPr>
            </w:pPr>
          </w:p>
        </w:tc>
        <w:tc>
          <w:tcPr>
            <w:tcW w:w="422" w:type="dxa"/>
            <w:vAlign w:val="center"/>
          </w:tcPr>
          <w:p>
            <w:pPr>
              <w:pStyle w:val="19"/>
              <w:widowControl/>
              <w:spacing w:line="240" w:lineRule="exact"/>
              <w:jc w:val="center"/>
              <w:rPr>
                <w:kern w:val="0"/>
                <w:sz w:val="15"/>
                <w:szCs w:val="15"/>
              </w:rPr>
            </w:pPr>
            <w:r>
              <w:rPr>
                <w:kern w:val="0"/>
                <w:sz w:val="15"/>
                <w:szCs w:val="15"/>
              </w:rPr>
              <w:t>　</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tabs>
                <w:tab w:val="center" w:pos="599"/>
                <w:tab w:val="right" w:pos="1394"/>
              </w:tabs>
              <w:spacing w:line="240" w:lineRule="exact"/>
              <w:jc w:val="right"/>
              <w:rPr>
                <w:sz w:val="15"/>
                <w:szCs w:val="15"/>
              </w:rPr>
            </w:pPr>
            <w:r>
              <w:rPr>
                <w:rFonts w:hint="eastAsia"/>
                <w:sz w:val="15"/>
                <w:szCs w:val="15"/>
              </w:rPr>
              <w:tab/>
            </w:r>
            <w:r>
              <w:rPr>
                <w:rFonts w:hint="eastAsia"/>
                <w:sz w:val="15"/>
                <w:szCs w:val="15"/>
              </w:rPr>
              <w:t xml:space="preserve">            0.00</w:t>
            </w:r>
            <w:r>
              <w:rPr>
                <w:rFonts w:hint="eastAsia"/>
                <w:sz w:val="15"/>
                <w:szCs w:val="15"/>
              </w:rPr>
              <w:tab/>
            </w:r>
            <w:r>
              <w:rPr>
                <w:sz w:val="15"/>
                <w:szCs w:val="15"/>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300" w:hanging="300" w:hangingChars="200"/>
              <w:jc w:val="left"/>
              <w:rPr>
                <w:kern w:val="0"/>
                <w:sz w:val="15"/>
                <w:szCs w:val="15"/>
              </w:rPr>
            </w:pPr>
            <w:r>
              <w:rPr>
                <w:kern w:val="0"/>
                <w:sz w:val="15"/>
                <w:szCs w:val="15"/>
              </w:rPr>
              <w:t xml:space="preserve">    固定资产清理                                                                                                                          Fixed Assets Pending Disposal                            </w:t>
            </w:r>
          </w:p>
        </w:tc>
        <w:tc>
          <w:tcPr>
            <w:tcW w:w="452" w:type="dxa"/>
            <w:vAlign w:val="center"/>
          </w:tcPr>
          <w:p>
            <w:pPr>
              <w:pStyle w:val="19"/>
              <w:widowControl/>
              <w:spacing w:line="240" w:lineRule="exact"/>
              <w:jc w:val="center"/>
              <w:rPr>
                <w:kern w:val="0"/>
                <w:sz w:val="15"/>
                <w:szCs w:val="15"/>
              </w:rPr>
            </w:pPr>
            <w:r>
              <w:rPr>
                <w:kern w:val="0"/>
                <w:sz w:val="15"/>
                <w:szCs w:val="15"/>
              </w:rPr>
              <w:t>25</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jc w:val="center"/>
              <w:rPr>
                <w:kern w:val="0"/>
                <w:sz w:val="15"/>
                <w:szCs w:val="15"/>
              </w:rPr>
            </w:pPr>
            <w:r>
              <w:rPr>
                <w:kern w:val="0"/>
                <w:sz w:val="15"/>
                <w:szCs w:val="15"/>
              </w:rPr>
              <w:t>　</w:t>
            </w:r>
          </w:p>
        </w:tc>
        <w:tc>
          <w:tcPr>
            <w:tcW w:w="422" w:type="dxa"/>
            <w:vAlign w:val="center"/>
          </w:tcPr>
          <w:p>
            <w:pPr>
              <w:pStyle w:val="19"/>
              <w:widowControl/>
              <w:spacing w:line="240" w:lineRule="exact"/>
              <w:jc w:val="center"/>
              <w:rPr>
                <w:kern w:val="0"/>
                <w:sz w:val="15"/>
                <w:szCs w:val="15"/>
              </w:rPr>
            </w:pPr>
            <w:r>
              <w:rPr>
                <w:kern w:val="0"/>
                <w:sz w:val="15"/>
                <w:szCs w:val="15"/>
              </w:rPr>
              <w:t>　</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rFonts w:hint="eastAsia"/>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ind w:left="226" w:leftChars="108"/>
              <w:jc w:val="left"/>
              <w:rPr>
                <w:kern w:val="0"/>
                <w:sz w:val="15"/>
                <w:szCs w:val="15"/>
              </w:rPr>
            </w:pPr>
            <w:r>
              <w:rPr>
                <w:kern w:val="0"/>
                <w:sz w:val="15"/>
                <w:szCs w:val="15"/>
              </w:rPr>
              <w:t xml:space="preserve">待处理固定资产损失                                                                                                               Fixed Assets Losses in Suspense                           </w:t>
            </w:r>
          </w:p>
        </w:tc>
        <w:tc>
          <w:tcPr>
            <w:tcW w:w="452" w:type="dxa"/>
            <w:vAlign w:val="center"/>
          </w:tcPr>
          <w:p>
            <w:pPr>
              <w:pStyle w:val="19"/>
              <w:widowControl/>
              <w:spacing w:line="240" w:lineRule="exact"/>
              <w:jc w:val="center"/>
              <w:rPr>
                <w:kern w:val="0"/>
                <w:sz w:val="15"/>
                <w:szCs w:val="15"/>
              </w:rPr>
            </w:pPr>
            <w:r>
              <w:rPr>
                <w:kern w:val="0"/>
                <w:sz w:val="15"/>
                <w:szCs w:val="15"/>
              </w:rPr>
              <w:t>26</w:t>
            </w:r>
          </w:p>
        </w:tc>
        <w:tc>
          <w:tcPr>
            <w:tcW w:w="1284" w:type="dxa"/>
            <w:vAlign w:val="center"/>
          </w:tcPr>
          <w:p>
            <w:pPr>
              <w:pStyle w:val="19"/>
              <w:spacing w:line="160" w:lineRule="exact"/>
              <w:jc w:val="right"/>
              <w:rPr>
                <w:sz w:val="15"/>
                <w:szCs w:val="15"/>
              </w:rPr>
            </w:pPr>
            <w:r>
              <w:rPr>
                <w:sz w:val="15"/>
                <w:szCs w:val="15"/>
              </w:rPr>
              <w:t xml:space="preserve">0.00 </w:t>
            </w:r>
          </w:p>
        </w:tc>
        <w:tc>
          <w:tcPr>
            <w:tcW w:w="1259" w:type="dxa"/>
            <w:vAlign w:val="center"/>
          </w:tcPr>
          <w:p>
            <w:pPr>
              <w:pStyle w:val="19"/>
              <w:spacing w:line="160" w:lineRule="exact"/>
              <w:jc w:val="right"/>
              <w:rPr>
                <w:sz w:val="15"/>
                <w:szCs w:val="15"/>
              </w:rPr>
            </w:pPr>
            <w:r>
              <w:rPr>
                <w:sz w:val="15"/>
                <w:szCs w:val="15"/>
              </w:rPr>
              <w:t>0.00</w:t>
            </w:r>
          </w:p>
        </w:tc>
        <w:tc>
          <w:tcPr>
            <w:tcW w:w="2100" w:type="dxa"/>
            <w:vAlign w:val="center"/>
          </w:tcPr>
          <w:p>
            <w:pPr>
              <w:pStyle w:val="19"/>
              <w:widowControl/>
              <w:spacing w:line="240" w:lineRule="exact"/>
              <w:jc w:val="center"/>
              <w:rPr>
                <w:kern w:val="0"/>
                <w:sz w:val="15"/>
                <w:szCs w:val="15"/>
              </w:rPr>
            </w:pPr>
            <w:r>
              <w:rPr>
                <w:kern w:val="0"/>
                <w:sz w:val="15"/>
                <w:szCs w:val="15"/>
              </w:rPr>
              <w:t>　</w:t>
            </w:r>
          </w:p>
        </w:tc>
        <w:tc>
          <w:tcPr>
            <w:tcW w:w="422" w:type="dxa"/>
            <w:vAlign w:val="center"/>
          </w:tcPr>
          <w:p>
            <w:pPr>
              <w:pStyle w:val="19"/>
              <w:widowControl/>
              <w:spacing w:line="240" w:lineRule="exact"/>
              <w:jc w:val="center"/>
              <w:rPr>
                <w:kern w:val="0"/>
                <w:sz w:val="15"/>
                <w:szCs w:val="15"/>
              </w:rPr>
            </w:pPr>
            <w:r>
              <w:rPr>
                <w:kern w:val="0"/>
                <w:sz w:val="15"/>
                <w:szCs w:val="15"/>
              </w:rPr>
              <w:t>　</w:t>
            </w:r>
          </w:p>
        </w:tc>
        <w:tc>
          <w:tcPr>
            <w:tcW w:w="1261" w:type="dxa"/>
            <w:vAlign w:val="center"/>
          </w:tcPr>
          <w:p>
            <w:pPr>
              <w:pStyle w:val="19"/>
              <w:jc w:val="right"/>
              <w:rPr>
                <w:sz w:val="15"/>
                <w:szCs w:val="15"/>
              </w:rPr>
            </w:pPr>
            <w:r>
              <w:rPr>
                <w:rFonts w:hint="eastAsia"/>
                <w:kern w:val="0"/>
                <w:sz w:val="15"/>
                <w:szCs w:val="15"/>
              </w:rPr>
              <w:t>0.00</w:t>
            </w:r>
          </w:p>
        </w:tc>
        <w:tc>
          <w:tcPr>
            <w:tcW w:w="1259" w:type="dxa"/>
            <w:vAlign w:val="center"/>
          </w:tcPr>
          <w:p>
            <w:pPr>
              <w:pStyle w:val="19"/>
              <w:spacing w:line="240" w:lineRule="exact"/>
              <w:jc w:val="right"/>
              <w:rPr>
                <w:sz w:val="15"/>
                <w:szCs w:val="15"/>
              </w:rPr>
            </w:pPr>
            <w:r>
              <w:rPr>
                <w:rFonts w:hint="eastAsia"/>
                <w:sz w:val="15"/>
                <w:szCs w:val="15"/>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6" w:hRule="atLeast"/>
        </w:trPr>
        <w:tc>
          <w:tcPr>
            <w:tcW w:w="2400" w:type="dxa"/>
            <w:vAlign w:val="center"/>
          </w:tcPr>
          <w:p>
            <w:pPr>
              <w:pStyle w:val="19"/>
              <w:widowControl/>
              <w:spacing w:line="240" w:lineRule="exact"/>
              <w:jc w:val="center"/>
              <w:rPr>
                <w:kern w:val="0"/>
                <w:sz w:val="15"/>
                <w:szCs w:val="15"/>
              </w:rPr>
            </w:pPr>
            <w:r>
              <w:rPr>
                <w:kern w:val="0"/>
                <w:sz w:val="15"/>
                <w:szCs w:val="15"/>
              </w:rPr>
              <w:t xml:space="preserve">资金占用合计                                                                                                                           Total Application of Fund                              </w:t>
            </w:r>
          </w:p>
        </w:tc>
        <w:tc>
          <w:tcPr>
            <w:tcW w:w="452" w:type="dxa"/>
            <w:vAlign w:val="center"/>
          </w:tcPr>
          <w:p>
            <w:pPr>
              <w:pStyle w:val="19"/>
              <w:widowControl/>
              <w:spacing w:line="240" w:lineRule="exact"/>
              <w:jc w:val="center"/>
              <w:rPr>
                <w:kern w:val="0"/>
                <w:sz w:val="15"/>
                <w:szCs w:val="15"/>
              </w:rPr>
            </w:pPr>
            <w:r>
              <w:rPr>
                <w:kern w:val="0"/>
                <w:sz w:val="15"/>
                <w:szCs w:val="15"/>
              </w:rPr>
              <w:t>27</w:t>
            </w:r>
          </w:p>
        </w:tc>
        <w:tc>
          <w:tcPr>
            <w:tcW w:w="1284" w:type="dxa"/>
            <w:vAlign w:val="center"/>
          </w:tcPr>
          <w:p>
            <w:pPr>
              <w:pStyle w:val="19"/>
              <w:widowControl/>
              <w:spacing w:line="240" w:lineRule="exact"/>
              <w:jc w:val="right"/>
              <w:rPr>
                <w:kern w:val="0"/>
                <w:sz w:val="15"/>
                <w:szCs w:val="15"/>
              </w:rPr>
            </w:pPr>
            <w:r>
              <w:rPr>
                <w:rFonts w:hint="eastAsia"/>
                <w:sz w:val="15"/>
                <w:szCs w:val="15"/>
              </w:rPr>
              <w:t>341,398,734</w:t>
            </w:r>
            <w:r>
              <w:rPr>
                <w:sz w:val="15"/>
                <w:szCs w:val="15"/>
              </w:rPr>
              <w:t>.</w:t>
            </w:r>
            <w:r>
              <w:rPr>
                <w:rFonts w:hint="eastAsia"/>
                <w:sz w:val="15"/>
                <w:szCs w:val="15"/>
              </w:rPr>
              <w:t>64</w:t>
            </w:r>
            <w:r>
              <w:rPr>
                <w:kern w:val="0"/>
                <w:sz w:val="15"/>
                <w:szCs w:val="15"/>
              </w:rPr>
              <w:t xml:space="preserve"> </w:t>
            </w:r>
          </w:p>
        </w:tc>
        <w:tc>
          <w:tcPr>
            <w:tcW w:w="1259" w:type="dxa"/>
            <w:vAlign w:val="center"/>
          </w:tcPr>
          <w:p>
            <w:pPr>
              <w:pStyle w:val="19"/>
              <w:spacing w:line="160" w:lineRule="exact"/>
              <w:jc w:val="right"/>
              <w:rPr>
                <w:sz w:val="15"/>
                <w:szCs w:val="15"/>
              </w:rPr>
            </w:pPr>
            <w:r>
              <w:rPr>
                <w:bCs/>
                <w:sz w:val="15"/>
                <w:szCs w:val="15"/>
              </w:rPr>
              <w:t>469,953,606.63</w:t>
            </w:r>
          </w:p>
        </w:tc>
        <w:tc>
          <w:tcPr>
            <w:tcW w:w="2100" w:type="dxa"/>
            <w:vAlign w:val="center"/>
          </w:tcPr>
          <w:p>
            <w:pPr>
              <w:pStyle w:val="19"/>
              <w:widowControl/>
              <w:spacing w:line="240" w:lineRule="exact"/>
              <w:jc w:val="center"/>
              <w:rPr>
                <w:kern w:val="0"/>
                <w:sz w:val="15"/>
                <w:szCs w:val="15"/>
              </w:rPr>
            </w:pPr>
            <w:r>
              <w:rPr>
                <w:kern w:val="0"/>
                <w:sz w:val="15"/>
                <w:szCs w:val="15"/>
              </w:rPr>
              <w:t xml:space="preserve">资金来源合计                                                                                                                               Total Sources of Fund                                                                                                   </w:t>
            </w:r>
          </w:p>
        </w:tc>
        <w:tc>
          <w:tcPr>
            <w:tcW w:w="422" w:type="dxa"/>
            <w:vAlign w:val="center"/>
          </w:tcPr>
          <w:p>
            <w:pPr>
              <w:pStyle w:val="19"/>
              <w:widowControl/>
              <w:spacing w:line="240" w:lineRule="exact"/>
              <w:jc w:val="center"/>
              <w:rPr>
                <w:kern w:val="0"/>
                <w:sz w:val="15"/>
                <w:szCs w:val="15"/>
              </w:rPr>
            </w:pPr>
            <w:r>
              <w:rPr>
                <w:kern w:val="0"/>
                <w:sz w:val="15"/>
                <w:szCs w:val="15"/>
              </w:rPr>
              <w:t>51</w:t>
            </w:r>
          </w:p>
        </w:tc>
        <w:tc>
          <w:tcPr>
            <w:tcW w:w="1261" w:type="dxa"/>
            <w:vAlign w:val="center"/>
          </w:tcPr>
          <w:p>
            <w:pPr>
              <w:pStyle w:val="19"/>
              <w:spacing w:line="240" w:lineRule="exact"/>
              <w:jc w:val="right"/>
              <w:rPr>
                <w:kern w:val="0"/>
                <w:sz w:val="15"/>
                <w:szCs w:val="15"/>
              </w:rPr>
            </w:pPr>
            <w:r>
              <w:rPr>
                <w:bCs/>
                <w:sz w:val="15"/>
                <w:szCs w:val="15"/>
              </w:rPr>
              <w:t>341,398,734.64</w:t>
            </w:r>
          </w:p>
        </w:tc>
        <w:tc>
          <w:tcPr>
            <w:tcW w:w="1259" w:type="dxa"/>
            <w:vAlign w:val="center"/>
          </w:tcPr>
          <w:p>
            <w:pPr>
              <w:pStyle w:val="19"/>
              <w:spacing w:line="240" w:lineRule="exact"/>
              <w:jc w:val="right"/>
              <w:rPr>
                <w:bCs/>
                <w:kern w:val="0"/>
                <w:sz w:val="15"/>
                <w:szCs w:val="15"/>
              </w:rPr>
            </w:pPr>
            <w:r>
              <w:rPr>
                <w:bCs/>
                <w:sz w:val="15"/>
                <w:szCs w:val="15"/>
              </w:rPr>
              <w:t>469,953,606.63</w:t>
            </w:r>
            <w:r>
              <w:rPr>
                <w:sz w:val="15"/>
                <w:szCs w:val="15"/>
              </w:rPr>
              <w:t xml:space="preserve"> </w:t>
            </w:r>
          </w:p>
        </w:tc>
      </w:tr>
    </w:tbl>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pPr>
    </w:p>
    <w:p>
      <w:pPr>
        <w:pStyle w:val="19"/>
        <w:snapToGrid w:val="0"/>
        <w:spacing w:line="120" w:lineRule="atLeast"/>
        <w:rPr>
          <w:rFonts w:eastAsia="仿宋_GB2312"/>
        </w:rPr>
        <w:sectPr>
          <w:headerReference r:id="rId3" w:type="default"/>
          <w:footerReference r:id="rId4" w:type="default"/>
          <w:footerReference r:id="rId5" w:type="even"/>
          <w:footnotePr>
            <w:numRestart w:val="eachPage"/>
          </w:footnotePr>
          <w:pgSz w:w="11907" w:h="16840"/>
          <w:pgMar w:top="2098" w:right="1474" w:bottom="1985" w:left="1588" w:header="851" w:footer="992" w:gutter="0"/>
          <w:pgNumType w:start="1"/>
          <w:cols w:space="720" w:num="1"/>
          <w:docGrid w:type="linesAndChars" w:linePitch="312" w:charSpace="0"/>
        </w:sectPr>
      </w:pPr>
    </w:p>
    <w:p>
      <w:pPr>
        <w:pStyle w:val="19"/>
        <w:keepNext/>
        <w:autoSpaceDE w:val="0"/>
        <w:autoSpaceDN w:val="0"/>
        <w:adjustRightInd w:val="0"/>
        <w:snapToGrid w:val="0"/>
        <w:spacing w:line="400" w:lineRule="exact"/>
        <w:jc w:val="left"/>
        <w:outlineLvl w:val="1"/>
        <w:rPr>
          <w:rFonts w:eastAsia="仿宋_GB2312"/>
          <w:b/>
          <w:bCs/>
          <w:sz w:val="28"/>
          <w:szCs w:val="30"/>
        </w:rPr>
      </w:pPr>
      <w:bookmarkStart w:id="12" w:name="_Toc198720762"/>
      <w:bookmarkStart w:id="13" w:name="_Toc262213554"/>
      <w:bookmarkStart w:id="14" w:name="_Toc198720968"/>
      <w:bookmarkStart w:id="15" w:name="_Toc198721079"/>
      <w:bookmarkStart w:id="16" w:name="_Toc198721117"/>
      <w:bookmarkStart w:id="17" w:name="_Toc454893190"/>
      <w:bookmarkStart w:id="18" w:name="_Toc198720794"/>
      <w:bookmarkStart w:id="19" w:name="_Toc198720317"/>
      <w:r>
        <w:rPr>
          <w:rFonts w:eastAsia="仿宋_GB2312"/>
          <w:b/>
          <w:bCs/>
          <w:sz w:val="28"/>
          <w:szCs w:val="30"/>
        </w:rPr>
        <w:t>（二）项目进度表</w:t>
      </w:r>
      <w:bookmarkEnd w:id="12"/>
      <w:bookmarkEnd w:id="13"/>
      <w:bookmarkEnd w:id="14"/>
      <w:bookmarkEnd w:id="15"/>
      <w:bookmarkEnd w:id="16"/>
      <w:bookmarkEnd w:id="17"/>
      <w:bookmarkEnd w:id="18"/>
      <w:bookmarkEnd w:id="19"/>
    </w:p>
    <w:p>
      <w:pPr>
        <w:pStyle w:val="19"/>
        <w:keepNext/>
        <w:autoSpaceDE w:val="0"/>
        <w:autoSpaceDN w:val="0"/>
        <w:adjustRightInd w:val="0"/>
        <w:snapToGrid w:val="0"/>
        <w:spacing w:line="400" w:lineRule="exact"/>
        <w:jc w:val="left"/>
        <w:outlineLvl w:val="1"/>
        <w:rPr>
          <w:rFonts w:eastAsia="Times New Roman"/>
          <w:b/>
          <w:bCs/>
          <w:sz w:val="28"/>
          <w:szCs w:val="30"/>
        </w:rPr>
      </w:pPr>
      <w:bookmarkStart w:id="20" w:name="_Toc454893191"/>
      <w:bookmarkStart w:id="21" w:name="_Toc262213555"/>
      <w:r>
        <w:rPr>
          <w:rFonts w:eastAsia="Times New Roman"/>
          <w:b/>
          <w:bCs/>
          <w:sz w:val="28"/>
          <w:szCs w:val="28"/>
        </w:rPr>
        <w:t>ii</w:t>
      </w:r>
      <w:r>
        <w:rPr>
          <w:rFonts w:eastAsia="Times New Roman"/>
          <w:b/>
          <w:bCs/>
          <w:sz w:val="28"/>
          <w:szCs w:val="30"/>
        </w:rPr>
        <w:t>. Summary of Sources and Uses of Funds by Project Component</w:t>
      </w:r>
      <w:bookmarkEnd w:id="20"/>
      <w:bookmarkEnd w:id="21"/>
    </w:p>
    <w:p>
      <w:pPr>
        <w:pStyle w:val="19"/>
        <w:widowControl/>
        <w:snapToGrid w:val="0"/>
        <w:spacing w:line="400" w:lineRule="exact"/>
        <w:jc w:val="center"/>
        <w:rPr>
          <w:rFonts w:eastAsia="仿宋_GB2312"/>
          <w:b/>
          <w:kern w:val="0"/>
          <w:sz w:val="32"/>
          <w:szCs w:val="32"/>
        </w:rPr>
      </w:pPr>
      <w:r>
        <w:rPr>
          <w:rFonts w:eastAsia="仿宋_GB2312"/>
          <w:b/>
          <w:kern w:val="0"/>
          <w:sz w:val="32"/>
          <w:szCs w:val="32"/>
        </w:rPr>
        <w:t>项 目 进 度 表（一）</w:t>
      </w:r>
    </w:p>
    <w:p>
      <w:pPr>
        <w:pStyle w:val="19"/>
        <w:widowControl/>
        <w:spacing w:line="400" w:lineRule="exact"/>
        <w:jc w:val="center"/>
        <w:rPr>
          <w:b/>
          <w:bCs/>
          <w:kern w:val="0"/>
          <w:sz w:val="32"/>
          <w:szCs w:val="32"/>
        </w:rPr>
      </w:pPr>
      <w:r>
        <w:rPr>
          <w:b/>
          <w:bCs/>
          <w:kern w:val="0"/>
          <w:sz w:val="32"/>
          <w:szCs w:val="32"/>
        </w:rPr>
        <w:t xml:space="preserve">SUMMARY OF SOURCES AND USES OF FUNDS </w:t>
      </w:r>
    </w:p>
    <w:p>
      <w:pPr>
        <w:pStyle w:val="19"/>
        <w:widowControl/>
        <w:spacing w:line="400" w:lineRule="exact"/>
        <w:jc w:val="center"/>
        <w:rPr>
          <w:b/>
          <w:bCs/>
          <w:kern w:val="0"/>
          <w:sz w:val="32"/>
          <w:szCs w:val="32"/>
        </w:rPr>
      </w:pPr>
      <w:r>
        <w:rPr>
          <w:b/>
          <w:bCs/>
          <w:kern w:val="0"/>
          <w:sz w:val="32"/>
          <w:szCs w:val="32"/>
        </w:rPr>
        <w:t xml:space="preserve">BY PROJECT COMPONENT </w:t>
      </w:r>
      <w:r>
        <w:rPr>
          <w:rFonts w:hint="eastAsia" w:ascii="宋体" w:hAnsi="宋体" w:cs="宋体"/>
          <w:b/>
          <w:bCs/>
          <w:kern w:val="0"/>
          <w:sz w:val="32"/>
          <w:szCs w:val="32"/>
        </w:rPr>
        <w:t>Ⅰ</w:t>
      </w:r>
    </w:p>
    <w:p>
      <w:pPr>
        <w:pStyle w:val="19"/>
        <w:snapToGrid w:val="0"/>
        <w:spacing w:line="240" w:lineRule="atLeast"/>
        <w:jc w:val="center"/>
        <w:rPr>
          <w:rFonts w:eastAsia="仿宋_GB2312"/>
          <w:kern w:val="0"/>
          <w:szCs w:val="28"/>
        </w:rPr>
      </w:pPr>
      <w:r>
        <w:rPr>
          <w:rFonts w:eastAsia="仿宋_GB2312"/>
          <w:kern w:val="0"/>
          <w:szCs w:val="28"/>
        </w:rPr>
        <w:t>本期截至</w:t>
      </w:r>
      <w:r>
        <w:rPr>
          <w:rFonts w:hint="eastAsia" w:eastAsia="仿宋_GB2312"/>
          <w:kern w:val="0"/>
          <w:szCs w:val="28"/>
        </w:rPr>
        <w:t>2019</w:t>
      </w:r>
      <w:r>
        <w:rPr>
          <w:rFonts w:eastAsia="仿宋_GB2312"/>
          <w:kern w:val="0"/>
          <w:szCs w:val="28"/>
        </w:rPr>
        <w:t xml:space="preserve">年12月31日 </w:t>
      </w:r>
    </w:p>
    <w:p>
      <w:pPr>
        <w:pStyle w:val="19"/>
        <w:snapToGrid w:val="0"/>
        <w:spacing w:line="240" w:lineRule="atLeast"/>
        <w:jc w:val="center"/>
        <w:rPr>
          <w:rFonts w:eastAsia="仿宋_GB2312"/>
          <w:kern w:val="0"/>
          <w:szCs w:val="28"/>
        </w:rPr>
      </w:pPr>
      <w:r>
        <w:rPr>
          <w:rFonts w:eastAsia="仿宋_GB2312"/>
          <w:kern w:val="0"/>
          <w:szCs w:val="28"/>
        </w:rPr>
        <w:t xml:space="preserve">(For the period ended </w:t>
      </w:r>
      <w:r>
        <w:rPr>
          <w:rFonts w:hint="eastAsia" w:eastAsia="仿宋_GB2312"/>
          <w:kern w:val="0"/>
          <w:szCs w:val="28"/>
        </w:rPr>
        <w:t>December 31, 2019</w:t>
      </w:r>
      <w:r>
        <w:rPr>
          <w:rFonts w:eastAsia="仿宋_GB2312"/>
          <w:kern w:val="0"/>
          <w:szCs w:val="28"/>
        </w:rPr>
        <w:t>）</w:t>
      </w:r>
    </w:p>
    <w:p>
      <w:pPr>
        <w:pStyle w:val="19"/>
        <w:snapToGrid w:val="0"/>
        <w:spacing w:line="240" w:lineRule="atLeast"/>
        <w:jc w:val="center"/>
        <w:rPr>
          <w:rFonts w:eastAsia="仿宋_GB2312"/>
          <w:kern w:val="0"/>
          <w:szCs w:val="28"/>
        </w:rPr>
      </w:pPr>
    </w:p>
    <w:p>
      <w:pPr>
        <w:pStyle w:val="19"/>
        <w:snapToGrid w:val="0"/>
        <w:spacing w:line="120" w:lineRule="atLeast"/>
        <w:ind w:leftChars="-207" w:right="-1784" w:hanging="434" w:hangingChars="207"/>
        <w:rPr>
          <w:rFonts w:eastAsia="仿宋_GB2312"/>
        </w:rPr>
      </w:pPr>
      <w:r>
        <w:rPr>
          <w:rFonts w:eastAsia="仿宋_GB2312"/>
        </w:rPr>
        <w:t xml:space="preserve">项目名称：世界银行贷款川渝合作(广安)示范区基础设施建设项目                                                             </w:t>
      </w:r>
    </w:p>
    <w:p>
      <w:pPr>
        <w:pStyle w:val="19"/>
        <w:snapToGrid w:val="0"/>
        <w:spacing w:line="120" w:lineRule="atLeast"/>
        <w:ind w:leftChars="-207" w:right="-1784" w:hanging="434" w:hangingChars="207"/>
        <w:rPr>
          <w:rFonts w:eastAsia="仿宋_GB2312"/>
        </w:rPr>
      </w:pPr>
      <w:r>
        <w:rPr>
          <w:rFonts w:eastAsia="仿宋_GB2312"/>
        </w:rPr>
        <w:t xml:space="preserve">Project Name: </w:t>
      </w:r>
      <w:r>
        <w:rPr>
          <w:rFonts w:hint="eastAsia" w:eastAsia="仿宋_GB2312"/>
        </w:rPr>
        <w:t xml:space="preserve">Sichuan-Chongqing Cooperation (Guang'an) Demonstration Area Infrastructure Construction Project </w:t>
      </w:r>
    </w:p>
    <w:p>
      <w:pPr>
        <w:pStyle w:val="19"/>
        <w:snapToGrid w:val="0"/>
        <w:spacing w:line="120" w:lineRule="atLeast"/>
        <w:ind w:leftChars="-207" w:right="-1784" w:hanging="434" w:hangingChars="207"/>
        <w:rPr>
          <w:rFonts w:eastAsia="仿宋_GB2312"/>
        </w:rPr>
      </w:pPr>
      <w:r>
        <w:rPr>
          <w:rFonts w:hint="eastAsia" w:eastAsia="仿宋_GB2312"/>
        </w:rPr>
        <w:t xml:space="preserve">            Financed by the World Bank</w:t>
      </w:r>
      <w:r>
        <w:rPr>
          <w:rFonts w:eastAsia="仿宋_GB2312"/>
        </w:rPr>
        <w:t xml:space="preserve">                                                  </w:t>
      </w:r>
    </w:p>
    <w:p>
      <w:pPr>
        <w:pStyle w:val="19"/>
        <w:snapToGrid w:val="0"/>
        <w:spacing w:line="120" w:lineRule="atLeast"/>
        <w:ind w:left="-420" w:leftChars="-207" w:right="-1784" w:hanging="14" w:hangingChars="7"/>
        <w:jc w:val="left"/>
        <w:rPr>
          <w:rFonts w:eastAsia="仿宋_GB2312"/>
        </w:rPr>
      </w:pPr>
      <w:r>
        <w:rPr>
          <w:rFonts w:eastAsia="仿宋_GB2312"/>
        </w:rPr>
        <w:t>编报单位：</w:t>
      </w:r>
      <w:r>
        <w:rPr>
          <w:rFonts w:hint="eastAsia" w:eastAsia="仿宋_GB2312"/>
        </w:rPr>
        <w:t>世行贷款广安项目领导小组办公室</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9"/>
        <w:snapToGrid w:val="0"/>
        <w:spacing w:line="120" w:lineRule="atLeast"/>
        <w:ind w:leftChars="-207" w:right="-1784" w:hanging="434" w:hangingChars="207"/>
        <w:rPr>
          <w:rFonts w:eastAsia="仿宋_GB2312"/>
          <w:spacing w:val="-10"/>
        </w:rPr>
      </w:pPr>
      <w:r>
        <w:t>Prepared by</w:t>
      </w:r>
      <w:r>
        <w:rPr>
          <w:rFonts w:eastAsia="仿宋_GB2312"/>
        </w:rPr>
        <w:t xml:space="preserve">: </w:t>
      </w:r>
      <w:r>
        <w:rPr>
          <w:rFonts w:hint="eastAsia" w:eastAsia="仿宋_GB2312"/>
        </w:rPr>
        <w:t>Guang</w:t>
      </w:r>
      <w:r>
        <w:rPr>
          <w:rFonts w:eastAsia="仿宋_GB2312"/>
        </w:rPr>
        <w:t>’</w:t>
      </w:r>
      <w:r>
        <w:rPr>
          <w:rFonts w:hint="eastAsia" w:eastAsia="仿宋_GB2312"/>
        </w:rPr>
        <w:t>an Project Management Office</w:t>
      </w:r>
      <w:r>
        <w:rPr>
          <w:rFonts w:eastAsia="仿宋_GB2312"/>
        </w:rPr>
        <w:t xml:space="preserve">            </w:t>
      </w:r>
      <w:r>
        <w:rPr>
          <w:rFonts w:eastAsia="仿宋_GB2312"/>
          <w:sz w:val="18"/>
        </w:rPr>
        <w:t xml:space="preserve">               </w:t>
      </w:r>
      <w:r>
        <w:rPr>
          <w:rFonts w:eastAsia="仿宋_GB2312"/>
          <w:szCs w:val="21"/>
        </w:rPr>
        <w:t xml:space="preserve"> Currency Unit: </w:t>
      </w:r>
      <w:r>
        <w:rPr>
          <w:kern w:val="0"/>
          <w:szCs w:val="21"/>
        </w:rPr>
        <w:t>RMB Yuan</w:t>
      </w:r>
    </w:p>
    <w:tbl>
      <w:tblPr>
        <w:tblStyle w:val="6"/>
        <w:tblW w:w="95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1260"/>
        <w:gridCol w:w="1256"/>
        <w:gridCol w:w="1118"/>
        <w:gridCol w:w="1327"/>
        <w:gridCol w:w="131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atLeast"/>
          <w:tblHeader/>
        </w:trPr>
        <w:tc>
          <w:tcPr>
            <w:tcW w:w="2227" w:type="dxa"/>
            <w:vMerge w:val="restart"/>
            <w:vAlign w:val="center"/>
          </w:tcPr>
          <w:p>
            <w:pPr>
              <w:pStyle w:val="19"/>
              <w:widowControl/>
              <w:spacing w:line="200" w:lineRule="exact"/>
              <w:jc w:val="center"/>
              <w:rPr>
                <w:kern w:val="0"/>
                <w:sz w:val="15"/>
                <w:szCs w:val="15"/>
              </w:rPr>
            </w:pPr>
            <w:r>
              <w:rPr>
                <w:kern w:val="0"/>
                <w:sz w:val="15"/>
                <w:szCs w:val="15"/>
              </w:rPr>
              <w:t>　</w:t>
            </w:r>
          </w:p>
        </w:tc>
        <w:tc>
          <w:tcPr>
            <w:tcW w:w="3634" w:type="dxa"/>
            <w:gridSpan w:val="3"/>
            <w:vAlign w:val="center"/>
          </w:tcPr>
          <w:p>
            <w:pPr>
              <w:pStyle w:val="19"/>
              <w:widowControl/>
              <w:spacing w:line="200" w:lineRule="exact"/>
              <w:jc w:val="center"/>
              <w:rPr>
                <w:kern w:val="0"/>
                <w:sz w:val="15"/>
                <w:szCs w:val="15"/>
              </w:rPr>
            </w:pPr>
            <w:r>
              <w:rPr>
                <w:kern w:val="0"/>
                <w:sz w:val="15"/>
                <w:szCs w:val="15"/>
              </w:rPr>
              <w:t xml:space="preserve">本期                          </w:t>
            </w:r>
          </w:p>
          <w:p>
            <w:pPr>
              <w:pStyle w:val="19"/>
              <w:widowControl/>
              <w:spacing w:line="200" w:lineRule="exact"/>
              <w:jc w:val="center"/>
              <w:rPr>
                <w:kern w:val="0"/>
                <w:sz w:val="15"/>
                <w:szCs w:val="15"/>
              </w:rPr>
            </w:pPr>
            <w:r>
              <w:rPr>
                <w:kern w:val="0"/>
                <w:sz w:val="15"/>
                <w:szCs w:val="15"/>
              </w:rPr>
              <w:t xml:space="preserve">Current Period                                                                                                                                     </w:t>
            </w:r>
          </w:p>
        </w:tc>
        <w:tc>
          <w:tcPr>
            <w:tcW w:w="3729" w:type="dxa"/>
            <w:gridSpan w:val="3"/>
            <w:vAlign w:val="center"/>
          </w:tcPr>
          <w:p>
            <w:pPr>
              <w:pStyle w:val="19"/>
              <w:widowControl/>
              <w:spacing w:line="200" w:lineRule="exact"/>
              <w:jc w:val="center"/>
              <w:rPr>
                <w:kern w:val="0"/>
                <w:sz w:val="15"/>
                <w:szCs w:val="15"/>
              </w:rPr>
            </w:pPr>
            <w:r>
              <w:rPr>
                <w:kern w:val="0"/>
                <w:sz w:val="15"/>
                <w:szCs w:val="15"/>
              </w:rPr>
              <w:t xml:space="preserve">累计                               </w:t>
            </w:r>
          </w:p>
          <w:p>
            <w:pPr>
              <w:pStyle w:val="19"/>
              <w:widowControl/>
              <w:spacing w:line="200" w:lineRule="exact"/>
              <w:jc w:val="center"/>
              <w:rPr>
                <w:kern w:val="0"/>
                <w:sz w:val="15"/>
                <w:szCs w:val="15"/>
              </w:rPr>
            </w:pPr>
            <w:r>
              <w:rPr>
                <w:kern w:val="0"/>
                <w:sz w:val="15"/>
                <w:szCs w:val="15"/>
              </w:rPr>
              <w:t xml:space="preserve">Cumulative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blHeader/>
        </w:trPr>
        <w:tc>
          <w:tcPr>
            <w:tcW w:w="2227" w:type="dxa"/>
            <w:vMerge w:val="continue"/>
            <w:vAlign w:val="center"/>
          </w:tcPr>
          <w:p>
            <w:pPr>
              <w:pStyle w:val="19"/>
              <w:widowControl/>
              <w:spacing w:line="200" w:lineRule="exact"/>
              <w:jc w:val="left"/>
              <w:rPr>
                <w:kern w:val="0"/>
                <w:sz w:val="15"/>
                <w:szCs w:val="15"/>
              </w:rPr>
            </w:pPr>
          </w:p>
        </w:tc>
        <w:tc>
          <w:tcPr>
            <w:tcW w:w="1260" w:type="dxa"/>
            <w:vAlign w:val="center"/>
          </w:tcPr>
          <w:p>
            <w:pPr>
              <w:pStyle w:val="19"/>
              <w:widowControl/>
              <w:spacing w:line="200" w:lineRule="exact"/>
              <w:jc w:val="center"/>
              <w:rPr>
                <w:kern w:val="0"/>
                <w:sz w:val="15"/>
                <w:szCs w:val="15"/>
              </w:rPr>
            </w:pPr>
            <w:r>
              <w:rPr>
                <w:kern w:val="0"/>
                <w:sz w:val="15"/>
                <w:szCs w:val="15"/>
              </w:rPr>
              <w:t>本期计划额            Current Period Budget</w:t>
            </w:r>
          </w:p>
        </w:tc>
        <w:tc>
          <w:tcPr>
            <w:tcW w:w="1256" w:type="dxa"/>
            <w:vAlign w:val="center"/>
          </w:tcPr>
          <w:p>
            <w:pPr>
              <w:pStyle w:val="19"/>
              <w:widowControl/>
              <w:spacing w:line="200" w:lineRule="exact"/>
              <w:jc w:val="center"/>
              <w:rPr>
                <w:kern w:val="0"/>
                <w:sz w:val="15"/>
                <w:szCs w:val="15"/>
              </w:rPr>
            </w:pPr>
            <w:r>
              <w:rPr>
                <w:kern w:val="0"/>
                <w:sz w:val="15"/>
                <w:szCs w:val="15"/>
              </w:rPr>
              <w:t>本期发生额           Current Period Actual</w:t>
            </w:r>
          </w:p>
        </w:tc>
        <w:tc>
          <w:tcPr>
            <w:tcW w:w="1118" w:type="dxa"/>
            <w:vAlign w:val="center"/>
          </w:tcPr>
          <w:p>
            <w:pPr>
              <w:pStyle w:val="19"/>
              <w:widowControl/>
              <w:spacing w:line="200" w:lineRule="exact"/>
              <w:jc w:val="center"/>
              <w:rPr>
                <w:kern w:val="0"/>
                <w:sz w:val="15"/>
                <w:szCs w:val="15"/>
              </w:rPr>
            </w:pPr>
            <w:r>
              <w:rPr>
                <w:kern w:val="0"/>
                <w:sz w:val="15"/>
                <w:szCs w:val="15"/>
              </w:rPr>
              <w:t xml:space="preserve">本期完成比               Current Period % Completed </w:t>
            </w:r>
          </w:p>
        </w:tc>
        <w:tc>
          <w:tcPr>
            <w:tcW w:w="1327" w:type="dxa"/>
            <w:vAlign w:val="center"/>
          </w:tcPr>
          <w:p>
            <w:pPr>
              <w:pStyle w:val="19"/>
              <w:widowControl/>
              <w:spacing w:line="200" w:lineRule="exact"/>
              <w:jc w:val="center"/>
              <w:rPr>
                <w:kern w:val="0"/>
                <w:sz w:val="15"/>
                <w:szCs w:val="15"/>
              </w:rPr>
            </w:pPr>
            <w:r>
              <w:rPr>
                <w:kern w:val="0"/>
                <w:sz w:val="15"/>
                <w:szCs w:val="15"/>
              </w:rPr>
              <w:t>项目总计划额                Life of PAD</w:t>
            </w:r>
          </w:p>
        </w:tc>
        <w:tc>
          <w:tcPr>
            <w:tcW w:w="1314" w:type="dxa"/>
            <w:vAlign w:val="center"/>
          </w:tcPr>
          <w:p>
            <w:pPr>
              <w:pStyle w:val="19"/>
              <w:widowControl/>
              <w:spacing w:line="200" w:lineRule="exact"/>
              <w:jc w:val="center"/>
              <w:rPr>
                <w:kern w:val="0"/>
                <w:sz w:val="15"/>
                <w:szCs w:val="15"/>
              </w:rPr>
            </w:pPr>
            <w:r>
              <w:rPr>
                <w:kern w:val="0"/>
                <w:sz w:val="15"/>
                <w:szCs w:val="15"/>
              </w:rPr>
              <w:t>累计完成额                     Cumulative Actual</w:t>
            </w:r>
          </w:p>
        </w:tc>
        <w:tc>
          <w:tcPr>
            <w:tcW w:w="1088" w:type="dxa"/>
            <w:vAlign w:val="center"/>
          </w:tcPr>
          <w:p>
            <w:pPr>
              <w:pStyle w:val="19"/>
              <w:widowControl/>
              <w:spacing w:line="200" w:lineRule="exact"/>
              <w:jc w:val="center"/>
              <w:rPr>
                <w:kern w:val="0"/>
                <w:sz w:val="15"/>
                <w:szCs w:val="15"/>
              </w:rPr>
            </w:pPr>
            <w:r>
              <w:rPr>
                <w:kern w:val="0"/>
                <w:sz w:val="15"/>
                <w:szCs w:val="15"/>
              </w:rPr>
              <w:t xml:space="preserve">累计完成比                 Cumulative % Completed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19"/>
              <w:widowControl/>
              <w:spacing w:line="200" w:lineRule="exact"/>
              <w:jc w:val="left"/>
              <w:rPr>
                <w:kern w:val="0"/>
                <w:sz w:val="15"/>
                <w:szCs w:val="15"/>
              </w:rPr>
            </w:pPr>
            <w:bookmarkStart w:id="22" w:name="_Hlk233443909"/>
            <w:bookmarkStart w:id="23" w:name="OLE_LINK3" w:colFirst="6" w:colLast="6"/>
            <w:bookmarkStart w:id="24" w:name="OLE_LINK4" w:colFirst="6" w:colLast="6"/>
            <w:bookmarkStart w:id="25" w:name="OLE_LINK2" w:colFirst="5" w:colLast="5"/>
            <w:bookmarkStart w:id="26" w:name="OLE_LINK5" w:colFirst="2" w:colLast="2"/>
            <w:bookmarkStart w:id="27" w:name="OLE_LINK6" w:colFirst="5" w:colLast="5"/>
            <w:bookmarkStart w:id="28" w:name="OLE_LINK1" w:colFirst="2" w:colLast="2"/>
            <w:r>
              <w:rPr>
                <w:kern w:val="0"/>
                <w:sz w:val="15"/>
                <w:szCs w:val="15"/>
              </w:rPr>
              <w:t>资金来源合计</w:t>
            </w:r>
          </w:p>
          <w:p>
            <w:pPr>
              <w:pStyle w:val="19"/>
              <w:widowControl/>
              <w:spacing w:line="200" w:lineRule="exact"/>
              <w:jc w:val="left"/>
              <w:rPr>
                <w:kern w:val="0"/>
                <w:sz w:val="15"/>
                <w:szCs w:val="15"/>
              </w:rPr>
            </w:pPr>
            <w:r>
              <w:rPr>
                <w:kern w:val="0"/>
                <w:sz w:val="15"/>
                <w:szCs w:val="15"/>
              </w:rPr>
              <w:t xml:space="preserve">Total Sources of Funds                                                                                                  </w:t>
            </w:r>
          </w:p>
        </w:tc>
        <w:tc>
          <w:tcPr>
            <w:tcW w:w="1260" w:type="dxa"/>
            <w:vAlign w:val="center"/>
          </w:tcPr>
          <w:p>
            <w:pPr>
              <w:pStyle w:val="19"/>
              <w:jc w:val="right"/>
              <w:rPr>
                <w:bCs/>
                <w:kern w:val="2"/>
                <w:sz w:val="15"/>
                <w:szCs w:val="15"/>
              </w:rPr>
            </w:pPr>
            <w:r>
              <w:rPr>
                <w:b w:val="0"/>
                <w:bCs/>
                <w:sz w:val="15"/>
                <w:szCs w:val="15"/>
              </w:rPr>
              <w:t>411,727,890.00</w:t>
            </w:r>
          </w:p>
        </w:tc>
        <w:tc>
          <w:tcPr>
            <w:tcW w:w="1256" w:type="dxa"/>
            <w:vAlign w:val="center"/>
          </w:tcPr>
          <w:p>
            <w:pPr>
              <w:pStyle w:val="19"/>
              <w:jc w:val="right"/>
              <w:rPr>
                <w:kern w:val="0"/>
                <w:sz w:val="15"/>
                <w:szCs w:val="15"/>
              </w:rPr>
            </w:pPr>
            <w:r>
              <w:rPr>
                <w:bCs/>
                <w:sz w:val="15"/>
                <w:szCs w:val="15"/>
              </w:rPr>
              <w:t>103,152,041.86</w:t>
            </w:r>
            <w:r>
              <w:rPr>
                <w:kern w:val="0"/>
                <w:sz w:val="15"/>
                <w:szCs w:val="15"/>
              </w:rPr>
              <w:t xml:space="preserve"> </w:t>
            </w:r>
          </w:p>
        </w:tc>
        <w:tc>
          <w:tcPr>
            <w:tcW w:w="1118" w:type="dxa"/>
            <w:vAlign w:val="center"/>
          </w:tcPr>
          <w:p>
            <w:pPr>
              <w:pStyle w:val="19"/>
              <w:jc w:val="right"/>
              <w:rPr>
                <w:kern w:val="0"/>
                <w:sz w:val="15"/>
                <w:szCs w:val="15"/>
              </w:rPr>
            </w:pPr>
            <w:r>
              <w:rPr>
                <w:bCs/>
                <w:sz w:val="15"/>
                <w:szCs w:val="15"/>
              </w:rPr>
              <w:t>25.05%</w:t>
            </w:r>
          </w:p>
        </w:tc>
        <w:tc>
          <w:tcPr>
            <w:tcW w:w="1327" w:type="dxa"/>
            <w:vAlign w:val="center"/>
          </w:tcPr>
          <w:p>
            <w:pPr>
              <w:pStyle w:val="19"/>
              <w:jc w:val="right"/>
              <w:rPr>
                <w:kern w:val="0"/>
                <w:sz w:val="15"/>
                <w:szCs w:val="15"/>
              </w:rPr>
            </w:pPr>
            <w:r>
              <w:rPr>
                <w:b w:val="0"/>
                <w:bCs w:val="0"/>
                <w:kern w:val="0"/>
                <w:sz w:val="15"/>
                <w:szCs w:val="15"/>
              </w:rPr>
              <w:t>1,213,118,500.00</w:t>
            </w:r>
          </w:p>
        </w:tc>
        <w:tc>
          <w:tcPr>
            <w:tcW w:w="1314" w:type="dxa"/>
            <w:vAlign w:val="center"/>
          </w:tcPr>
          <w:p>
            <w:pPr>
              <w:pStyle w:val="19"/>
              <w:jc w:val="right"/>
              <w:rPr>
                <w:kern w:val="0"/>
                <w:sz w:val="15"/>
                <w:szCs w:val="15"/>
              </w:rPr>
            </w:pPr>
            <w:r>
              <w:rPr>
                <w:bCs/>
                <w:sz w:val="15"/>
                <w:szCs w:val="15"/>
              </w:rPr>
              <w:t>427,164,970.43</w:t>
            </w:r>
          </w:p>
        </w:tc>
        <w:tc>
          <w:tcPr>
            <w:tcW w:w="1088" w:type="dxa"/>
            <w:vAlign w:val="center"/>
          </w:tcPr>
          <w:p>
            <w:pPr>
              <w:pStyle w:val="19"/>
              <w:jc w:val="right"/>
              <w:rPr>
                <w:kern w:val="0"/>
                <w:sz w:val="15"/>
                <w:szCs w:val="15"/>
              </w:rPr>
            </w:pPr>
            <w:r>
              <w:rPr>
                <w:bCs/>
                <w:sz w:val="15"/>
                <w:szCs w:val="15"/>
              </w:rPr>
              <w:t>35.21%</w:t>
            </w:r>
          </w:p>
          <w:bookmarkEnd w:id="22"/>
        </w:tc>
      </w:tr>
      <w:bookmarkEnd w:id="23"/>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19"/>
              <w:widowControl/>
              <w:numPr>
                <w:ilvl w:val="0"/>
                <w:numId w:val="1"/>
              </w:numPr>
              <w:spacing w:line="200" w:lineRule="exact"/>
              <w:jc w:val="left"/>
              <w:rPr>
                <w:kern w:val="0"/>
                <w:sz w:val="15"/>
                <w:szCs w:val="15"/>
              </w:rPr>
            </w:pPr>
            <w:r>
              <w:rPr>
                <w:kern w:val="0"/>
                <w:sz w:val="15"/>
                <w:szCs w:val="15"/>
              </w:rPr>
              <w:t xml:space="preserve">国际金融组织贷款  </w:t>
            </w:r>
          </w:p>
          <w:p>
            <w:pPr>
              <w:pStyle w:val="19"/>
              <w:widowControl/>
              <w:spacing w:line="200" w:lineRule="exact"/>
              <w:ind w:left="361" w:leftChars="172"/>
              <w:jc w:val="left"/>
              <w:rPr>
                <w:kern w:val="0"/>
                <w:sz w:val="15"/>
                <w:szCs w:val="15"/>
              </w:rPr>
            </w:pPr>
            <w:r>
              <w:rPr>
                <w:kern w:val="0"/>
                <w:sz w:val="15"/>
                <w:szCs w:val="15"/>
              </w:rPr>
              <w:t xml:space="preserve">International Financing                                                                                                               </w:t>
            </w:r>
          </w:p>
        </w:tc>
        <w:tc>
          <w:tcPr>
            <w:tcW w:w="1260" w:type="dxa"/>
            <w:vAlign w:val="center"/>
          </w:tcPr>
          <w:p>
            <w:pPr>
              <w:pStyle w:val="19"/>
              <w:jc w:val="right"/>
              <w:rPr>
                <w:bCs/>
                <w:kern w:val="2"/>
                <w:sz w:val="15"/>
                <w:szCs w:val="15"/>
              </w:rPr>
            </w:pPr>
            <w:r>
              <w:rPr>
                <w:bCs/>
                <w:sz w:val="15"/>
                <w:szCs w:val="15"/>
              </w:rPr>
              <w:t>300,047,890.00</w:t>
            </w:r>
          </w:p>
        </w:tc>
        <w:tc>
          <w:tcPr>
            <w:tcW w:w="1256" w:type="dxa"/>
            <w:vAlign w:val="center"/>
          </w:tcPr>
          <w:p>
            <w:pPr>
              <w:pStyle w:val="19"/>
              <w:jc w:val="right"/>
              <w:rPr>
                <w:kern w:val="0"/>
                <w:sz w:val="15"/>
                <w:szCs w:val="15"/>
              </w:rPr>
            </w:pPr>
            <w:r>
              <w:rPr>
                <w:sz w:val="15"/>
                <w:szCs w:val="15"/>
              </w:rPr>
              <w:t>79,558,683.87</w:t>
            </w:r>
          </w:p>
        </w:tc>
        <w:tc>
          <w:tcPr>
            <w:tcW w:w="1118" w:type="dxa"/>
            <w:vAlign w:val="center"/>
          </w:tcPr>
          <w:p>
            <w:pPr>
              <w:pStyle w:val="19"/>
              <w:jc w:val="right"/>
              <w:rPr>
                <w:kern w:val="0"/>
                <w:sz w:val="15"/>
                <w:szCs w:val="15"/>
              </w:rPr>
            </w:pPr>
            <w:r>
              <w:rPr>
                <w:sz w:val="15"/>
                <w:szCs w:val="15"/>
              </w:rPr>
              <w:t>26.52%</w:t>
            </w:r>
          </w:p>
        </w:tc>
        <w:tc>
          <w:tcPr>
            <w:tcW w:w="1327" w:type="dxa"/>
            <w:vAlign w:val="center"/>
          </w:tcPr>
          <w:p>
            <w:pPr>
              <w:pStyle w:val="19"/>
              <w:jc w:val="right"/>
              <w:rPr>
                <w:kern w:val="0"/>
                <w:sz w:val="15"/>
                <w:szCs w:val="15"/>
              </w:rPr>
            </w:pPr>
            <w:r>
              <w:rPr>
                <w:kern w:val="0"/>
                <w:sz w:val="15"/>
                <w:szCs w:val="15"/>
              </w:rPr>
              <w:t xml:space="preserve">615,000,000.00 </w:t>
            </w:r>
          </w:p>
        </w:tc>
        <w:tc>
          <w:tcPr>
            <w:tcW w:w="1314" w:type="dxa"/>
            <w:vAlign w:val="center"/>
          </w:tcPr>
          <w:p>
            <w:pPr>
              <w:pStyle w:val="19"/>
              <w:jc w:val="right"/>
              <w:rPr>
                <w:kern w:val="0"/>
                <w:sz w:val="15"/>
                <w:szCs w:val="15"/>
              </w:rPr>
            </w:pPr>
            <w:r>
              <w:rPr>
                <w:sz w:val="15"/>
                <w:szCs w:val="15"/>
              </w:rPr>
              <w:t>251,627,278.17</w:t>
            </w:r>
          </w:p>
        </w:tc>
        <w:tc>
          <w:tcPr>
            <w:tcW w:w="1088" w:type="dxa"/>
            <w:vAlign w:val="center"/>
          </w:tcPr>
          <w:p>
            <w:pPr>
              <w:pStyle w:val="19"/>
              <w:jc w:val="right"/>
              <w:rPr>
                <w:kern w:val="0"/>
                <w:sz w:val="15"/>
                <w:szCs w:val="15"/>
              </w:rPr>
            </w:pPr>
            <w:r>
              <w:rPr>
                <w:sz w:val="15"/>
                <w:szCs w:val="15"/>
              </w:rPr>
              <w:t>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19"/>
              <w:widowControl/>
              <w:spacing w:line="200" w:lineRule="exact"/>
              <w:ind w:left="300" w:hanging="300" w:hangingChars="200"/>
              <w:jc w:val="left"/>
              <w:rPr>
                <w:kern w:val="0"/>
                <w:sz w:val="15"/>
                <w:szCs w:val="15"/>
              </w:rPr>
            </w:pPr>
            <w:r>
              <w:rPr>
                <w:kern w:val="0"/>
                <w:sz w:val="15"/>
                <w:szCs w:val="15"/>
              </w:rPr>
              <w:t xml:space="preserve">  1. 国际复兴开发银行</w:t>
            </w:r>
          </w:p>
          <w:p>
            <w:pPr>
              <w:pStyle w:val="19"/>
              <w:widowControl/>
              <w:spacing w:line="200" w:lineRule="exact"/>
              <w:ind w:left="302" w:leftChars="144" w:firstLine="75" w:firstLineChars="50"/>
              <w:jc w:val="left"/>
              <w:rPr>
                <w:kern w:val="0"/>
                <w:sz w:val="15"/>
                <w:szCs w:val="15"/>
              </w:rPr>
            </w:pPr>
            <w:r>
              <w:rPr>
                <w:kern w:val="0"/>
                <w:sz w:val="15"/>
                <w:szCs w:val="15"/>
              </w:rPr>
              <w:t xml:space="preserve">IBRD                                                                                                                         </w:t>
            </w:r>
          </w:p>
        </w:tc>
        <w:tc>
          <w:tcPr>
            <w:tcW w:w="1260" w:type="dxa"/>
            <w:vAlign w:val="center"/>
          </w:tcPr>
          <w:p>
            <w:pPr>
              <w:pStyle w:val="19"/>
              <w:jc w:val="right"/>
              <w:rPr>
                <w:bCs/>
                <w:kern w:val="2"/>
                <w:sz w:val="15"/>
                <w:szCs w:val="15"/>
              </w:rPr>
            </w:pPr>
            <w:r>
              <w:rPr>
                <w:bCs/>
                <w:sz w:val="15"/>
                <w:szCs w:val="15"/>
              </w:rPr>
              <w:t>300,047,890.00</w:t>
            </w:r>
          </w:p>
        </w:tc>
        <w:tc>
          <w:tcPr>
            <w:tcW w:w="1256" w:type="dxa"/>
            <w:vAlign w:val="center"/>
          </w:tcPr>
          <w:p>
            <w:pPr>
              <w:pStyle w:val="19"/>
              <w:jc w:val="right"/>
              <w:rPr>
                <w:kern w:val="0"/>
                <w:sz w:val="15"/>
                <w:szCs w:val="15"/>
              </w:rPr>
            </w:pPr>
            <w:r>
              <w:rPr>
                <w:sz w:val="15"/>
                <w:szCs w:val="15"/>
              </w:rPr>
              <w:t>79,558,683.87</w:t>
            </w:r>
          </w:p>
        </w:tc>
        <w:tc>
          <w:tcPr>
            <w:tcW w:w="1118" w:type="dxa"/>
            <w:vAlign w:val="center"/>
          </w:tcPr>
          <w:p>
            <w:pPr>
              <w:pStyle w:val="19"/>
              <w:jc w:val="right"/>
              <w:rPr>
                <w:kern w:val="0"/>
                <w:sz w:val="15"/>
                <w:szCs w:val="15"/>
              </w:rPr>
            </w:pPr>
            <w:r>
              <w:rPr>
                <w:kern w:val="0"/>
                <w:sz w:val="15"/>
                <w:szCs w:val="15"/>
              </w:rPr>
              <w:t>26.52%</w:t>
            </w:r>
          </w:p>
        </w:tc>
        <w:tc>
          <w:tcPr>
            <w:tcW w:w="1327" w:type="dxa"/>
            <w:vAlign w:val="center"/>
          </w:tcPr>
          <w:p>
            <w:pPr>
              <w:pStyle w:val="19"/>
              <w:jc w:val="right"/>
              <w:rPr>
                <w:kern w:val="0"/>
                <w:sz w:val="15"/>
                <w:szCs w:val="15"/>
              </w:rPr>
            </w:pPr>
            <w:r>
              <w:rPr>
                <w:kern w:val="0"/>
                <w:sz w:val="15"/>
                <w:szCs w:val="15"/>
              </w:rPr>
              <w:t xml:space="preserve">615,000,000.00 </w:t>
            </w:r>
          </w:p>
        </w:tc>
        <w:tc>
          <w:tcPr>
            <w:tcW w:w="1314" w:type="dxa"/>
            <w:vAlign w:val="center"/>
          </w:tcPr>
          <w:p>
            <w:pPr>
              <w:pStyle w:val="19"/>
              <w:jc w:val="right"/>
              <w:rPr>
                <w:kern w:val="0"/>
                <w:sz w:val="15"/>
                <w:szCs w:val="15"/>
              </w:rPr>
            </w:pPr>
            <w:r>
              <w:rPr>
                <w:sz w:val="15"/>
                <w:szCs w:val="15"/>
              </w:rPr>
              <w:t>251,627,278.17</w:t>
            </w:r>
          </w:p>
        </w:tc>
        <w:tc>
          <w:tcPr>
            <w:tcW w:w="1088" w:type="dxa"/>
            <w:vAlign w:val="center"/>
          </w:tcPr>
          <w:p>
            <w:pPr>
              <w:pStyle w:val="19"/>
              <w:jc w:val="right"/>
              <w:rPr>
                <w:kern w:val="0"/>
                <w:sz w:val="15"/>
                <w:szCs w:val="15"/>
              </w:rPr>
            </w:pPr>
            <w:r>
              <w:rPr>
                <w:sz w:val="15"/>
                <w:szCs w:val="15"/>
              </w:rPr>
              <w:t>40.92%</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19"/>
              <w:widowControl/>
              <w:spacing w:line="200" w:lineRule="exact"/>
              <w:ind w:left="300" w:hanging="300" w:hangingChars="200"/>
              <w:jc w:val="left"/>
              <w:rPr>
                <w:kern w:val="0"/>
                <w:sz w:val="15"/>
                <w:szCs w:val="15"/>
              </w:rPr>
            </w:pPr>
            <w:r>
              <w:rPr>
                <w:kern w:val="0"/>
                <w:sz w:val="15"/>
                <w:szCs w:val="15"/>
              </w:rPr>
              <w:t>二、配套资金</w:t>
            </w:r>
          </w:p>
          <w:p>
            <w:pPr>
              <w:pStyle w:val="19"/>
              <w:widowControl/>
              <w:spacing w:line="200" w:lineRule="exact"/>
              <w:ind w:left="300" w:hanging="300" w:hangingChars="200"/>
              <w:jc w:val="left"/>
              <w:rPr>
                <w:kern w:val="0"/>
                <w:sz w:val="15"/>
                <w:szCs w:val="15"/>
              </w:rPr>
            </w:pPr>
            <w:r>
              <w:rPr>
                <w:kern w:val="0"/>
                <w:sz w:val="15"/>
                <w:szCs w:val="15"/>
              </w:rPr>
              <w:t xml:space="preserve">Counterpart Financing                                                                                                                       </w:t>
            </w:r>
          </w:p>
        </w:tc>
        <w:tc>
          <w:tcPr>
            <w:tcW w:w="1260" w:type="dxa"/>
            <w:vAlign w:val="center"/>
          </w:tcPr>
          <w:p>
            <w:pPr>
              <w:pStyle w:val="19"/>
              <w:jc w:val="right"/>
              <w:rPr>
                <w:bCs/>
                <w:kern w:val="2"/>
                <w:sz w:val="15"/>
                <w:szCs w:val="15"/>
              </w:rPr>
            </w:pPr>
            <w:r>
              <w:rPr>
                <w:bCs/>
                <w:sz w:val="15"/>
                <w:szCs w:val="15"/>
              </w:rPr>
              <w:t>111,680,000.00</w:t>
            </w:r>
          </w:p>
        </w:tc>
        <w:tc>
          <w:tcPr>
            <w:tcW w:w="1256" w:type="dxa"/>
            <w:vAlign w:val="center"/>
          </w:tcPr>
          <w:p>
            <w:pPr>
              <w:pStyle w:val="19"/>
              <w:jc w:val="right"/>
              <w:rPr>
                <w:kern w:val="0"/>
                <w:sz w:val="15"/>
                <w:szCs w:val="15"/>
              </w:rPr>
            </w:pPr>
            <w:r>
              <w:rPr>
                <w:sz w:val="15"/>
                <w:szCs w:val="15"/>
              </w:rPr>
              <w:t>23,593,357.99</w:t>
            </w:r>
          </w:p>
        </w:tc>
        <w:tc>
          <w:tcPr>
            <w:tcW w:w="1118" w:type="dxa"/>
            <w:vAlign w:val="center"/>
          </w:tcPr>
          <w:p>
            <w:pPr>
              <w:pStyle w:val="19"/>
              <w:jc w:val="right"/>
              <w:rPr>
                <w:kern w:val="0"/>
                <w:sz w:val="15"/>
                <w:szCs w:val="15"/>
              </w:rPr>
            </w:pPr>
            <w:r>
              <w:rPr>
                <w:sz w:val="15"/>
                <w:szCs w:val="15"/>
              </w:rPr>
              <w:t>21.13%</w:t>
            </w:r>
          </w:p>
        </w:tc>
        <w:tc>
          <w:tcPr>
            <w:tcW w:w="1327" w:type="dxa"/>
            <w:vAlign w:val="center"/>
          </w:tcPr>
          <w:p>
            <w:pPr>
              <w:pStyle w:val="19"/>
              <w:jc w:val="right"/>
              <w:rPr>
                <w:kern w:val="0"/>
                <w:sz w:val="15"/>
                <w:szCs w:val="15"/>
              </w:rPr>
            </w:pPr>
            <w:r>
              <w:rPr>
                <w:kern w:val="0"/>
                <w:sz w:val="15"/>
                <w:szCs w:val="15"/>
              </w:rPr>
              <w:t xml:space="preserve"> 598,118,500.00 </w:t>
            </w:r>
          </w:p>
        </w:tc>
        <w:tc>
          <w:tcPr>
            <w:tcW w:w="1314" w:type="dxa"/>
            <w:vAlign w:val="center"/>
          </w:tcPr>
          <w:p>
            <w:pPr>
              <w:pStyle w:val="19"/>
              <w:jc w:val="right"/>
              <w:rPr>
                <w:kern w:val="0"/>
                <w:sz w:val="15"/>
                <w:szCs w:val="15"/>
              </w:rPr>
            </w:pPr>
            <w:r>
              <w:rPr>
                <w:sz w:val="15"/>
                <w:szCs w:val="15"/>
              </w:rPr>
              <w:t>175,537,692.26</w:t>
            </w:r>
          </w:p>
        </w:tc>
        <w:tc>
          <w:tcPr>
            <w:tcW w:w="1088" w:type="dxa"/>
            <w:vAlign w:val="center"/>
          </w:tcPr>
          <w:p>
            <w:pPr>
              <w:pStyle w:val="19"/>
              <w:jc w:val="right"/>
              <w:rPr>
                <w:kern w:val="0"/>
                <w:sz w:val="15"/>
                <w:szCs w:val="15"/>
              </w:rPr>
            </w:pPr>
            <w:r>
              <w:rPr>
                <w:sz w:val="15"/>
                <w:szCs w:val="15"/>
              </w:rPr>
              <w:t>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2227" w:type="dxa"/>
            <w:vAlign w:val="center"/>
          </w:tcPr>
          <w:p>
            <w:pPr>
              <w:pStyle w:val="19"/>
              <w:widowControl/>
              <w:spacing w:line="200" w:lineRule="exact"/>
              <w:jc w:val="left"/>
              <w:rPr>
                <w:kern w:val="0"/>
                <w:sz w:val="15"/>
                <w:szCs w:val="15"/>
              </w:rPr>
            </w:pPr>
            <w:r>
              <w:rPr>
                <w:rFonts w:hint="eastAsia"/>
                <w:kern w:val="0"/>
                <w:sz w:val="15"/>
                <w:szCs w:val="15"/>
              </w:rPr>
              <w:t>1、有偿配套 Domestic loan</w:t>
            </w:r>
          </w:p>
        </w:tc>
        <w:tc>
          <w:tcPr>
            <w:tcW w:w="1260" w:type="dxa"/>
            <w:vAlign w:val="center"/>
          </w:tcPr>
          <w:p>
            <w:pPr>
              <w:pStyle w:val="19"/>
              <w:jc w:val="right"/>
              <w:rPr>
                <w:bCs/>
                <w:kern w:val="2"/>
                <w:sz w:val="15"/>
                <w:szCs w:val="15"/>
              </w:rPr>
            </w:pPr>
            <w:r>
              <w:rPr>
                <w:bCs/>
                <w:kern w:val="2"/>
                <w:sz w:val="15"/>
                <w:szCs w:val="15"/>
              </w:rPr>
              <w:t xml:space="preserve">                         </w:t>
            </w:r>
          </w:p>
        </w:tc>
        <w:tc>
          <w:tcPr>
            <w:tcW w:w="1256" w:type="dxa"/>
            <w:vAlign w:val="center"/>
          </w:tcPr>
          <w:p>
            <w:pPr>
              <w:pStyle w:val="19"/>
              <w:jc w:val="right"/>
              <w:rPr>
                <w:kern w:val="0"/>
                <w:sz w:val="15"/>
                <w:szCs w:val="15"/>
              </w:rPr>
            </w:pPr>
            <w:r>
              <w:rPr>
                <w:kern w:val="0"/>
                <w:sz w:val="15"/>
                <w:szCs w:val="15"/>
              </w:rPr>
              <w:t xml:space="preserve">                                 </w:t>
            </w:r>
          </w:p>
        </w:tc>
        <w:tc>
          <w:tcPr>
            <w:tcW w:w="1118" w:type="dxa"/>
            <w:vAlign w:val="center"/>
          </w:tcPr>
          <w:p>
            <w:pPr>
              <w:pStyle w:val="19"/>
              <w:jc w:val="right"/>
              <w:rPr>
                <w:kern w:val="0"/>
                <w:sz w:val="15"/>
                <w:szCs w:val="15"/>
              </w:rPr>
            </w:pPr>
          </w:p>
        </w:tc>
        <w:tc>
          <w:tcPr>
            <w:tcW w:w="1327" w:type="dxa"/>
            <w:vAlign w:val="center"/>
          </w:tcPr>
          <w:p>
            <w:pPr>
              <w:pStyle w:val="19"/>
              <w:jc w:val="right"/>
              <w:rPr>
                <w:kern w:val="0"/>
                <w:sz w:val="15"/>
                <w:szCs w:val="15"/>
              </w:rPr>
            </w:pPr>
            <w:r>
              <w:rPr>
                <w:kern w:val="0"/>
                <w:sz w:val="15"/>
                <w:szCs w:val="15"/>
              </w:rPr>
              <w:t xml:space="preserve">                               </w:t>
            </w:r>
          </w:p>
        </w:tc>
        <w:tc>
          <w:tcPr>
            <w:tcW w:w="1314" w:type="dxa"/>
            <w:vAlign w:val="center"/>
          </w:tcPr>
          <w:p>
            <w:pPr>
              <w:pStyle w:val="19"/>
              <w:jc w:val="right"/>
              <w:rPr>
                <w:kern w:val="0"/>
                <w:sz w:val="15"/>
                <w:szCs w:val="15"/>
              </w:rPr>
            </w:pPr>
          </w:p>
        </w:tc>
        <w:tc>
          <w:tcPr>
            <w:tcW w:w="1088" w:type="dxa"/>
            <w:vAlign w:val="center"/>
          </w:tcPr>
          <w:p>
            <w:pPr>
              <w:pStyle w:val="19"/>
              <w:jc w:val="right"/>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227" w:type="dxa"/>
            <w:vAlign w:val="center"/>
          </w:tcPr>
          <w:p>
            <w:pPr>
              <w:pStyle w:val="19"/>
              <w:widowControl/>
              <w:spacing w:line="200" w:lineRule="exact"/>
              <w:jc w:val="left"/>
              <w:rPr>
                <w:kern w:val="0"/>
                <w:sz w:val="15"/>
                <w:szCs w:val="15"/>
              </w:rPr>
            </w:pPr>
            <w:r>
              <w:rPr>
                <w:rFonts w:hint="eastAsia"/>
                <w:kern w:val="0"/>
                <w:sz w:val="15"/>
                <w:szCs w:val="15"/>
              </w:rPr>
              <w:t xml:space="preserve">2、无偿配套 </w:t>
            </w:r>
          </w:p>
          <w:p>
            <w:pPr>
              <w:pStyle w:val="19"/>
              <w:widowControl/>
              <w:spacing w:line="200" w:lineRule="exact"/>
              <w:jc w:val="left"/>
              <w:rPr>
                <w:kern w:val="0"/>
                <w:sz w:val="15"/>
                <w:szCs w:val="15"/>
              </w:rPr>
            </w:pPr>
            <w:r>
              <w:rPr>
                <w:rFonts w:hint="eastAsia"/>
                <w:kern w:val="0"/>
                <w:sz w:val="15"/>
                <w:szCs w:val="15"/>
              </w:rPr>
              <w:t>Appropriation Funds</w:t>
            </w:r>
          </w:p>
        </w:tc>
        <w:tc>
          <w:tcPr>
            <w:tcW w:w="1260" w:type="dxa"/>
            <w:vAlign w:val="center"/>
          </w:tcPr>
          <w:p>
            <w:pPr>
              <w:pStyle w:val="19"/>
              <w:jc w:val="right"/>
              <w:rPr>
                <w:bCs/>
                <w:kern w:val="2"/>
                <w:sz w:val="15"/>
                <w:szCs w:val="15"/>
              </w:rPr>
            </w:pPr>
            <w:r>
              <w:rPr>
                <w:bCs/>
                <w:sz w:val="15"/>
                <w:szCs w:val="15"/>
              </w:rPr>
              <w:t>111,680,000.00</w:t>
            </w:r>
          </w:p>
        </w:tc>
        <w:tc>
          <w:tcPr>
            <w:tcW w:w="1256" w:type="dxa"/>
            <w:vAlign w:val="center"/>
          </w:tcPr>
          <w:p>
            <w:pPr>
              <w:pStyle w:val="19"/>
              <w:jc w:val="right"/>
              <w:rPr>
                <w:kern w:val="0"/>
                <w:sz w:val="15"/>
                <w:szCs w:val="15"/>
              </w:rPr>
            </w:pPr>
            <w:r>
              <w:rPr>
                <w:sz w:val="15"/>
                <w:szCs w:val="15"/>
              </w:rPr>
              <w:t>23,593,357.99</w:t>
            </w:r>
          </w:p>
        </w:tc>
        <w:tc>
          <w:tcPr>
            <w:tcW w:w="1118" w:type="dxa"/>
            <w:vAlign w:val="center"/>
          </w:tcPr>
          <w:p>
            <w:pPr>
              <w:pStyle w:val="19"/>
              <w:jc w:val="right"/>
              <w:rPr>
                <w:kern w:val="0"/>
                <w:sz w:val="15"/>
                <w:szCs w:val="15"/>
              </w:rPr>
            </w:pPr>
            <w:r>
              <w:rPr>
                <w:sz w:val="15"/>
                <w:szCs w:val="15"/>
              </w:rPr>
              <w:t>21.13%</w:t>
            </w:r>
          </w:p>
        </w:tc>
        <w:tc>
          <w:tcPr>
            <w:tcW w:w="1327" w:type="dxa"/>
            <w:vAlign w:val="center"/>
          </w:tcPr>
          <w:p>
            <w:pPr>
              <w:pStyle w:val="19"/>
              <w:jc w:val="right"/>
              <w:rPr>
                <w:kern w:val="0"/>
                <w:sz w:val="15"/>
                <w:szCs w:val="15"/>
              </w:rPr>
            </w:pPr>
            <w:r>
              <w:rPr>
                <w:kern w:val="0"/>
                <w:sz w:val="15"/>
                <w:szCs w:val="15"/>
              </w:rPr>
              <w:t xml:space="preserve">598,118,500.00 </w:t>
            </w:r>
          </w:p>
        </w:tc>
        <w:tc>
          <w:tcPr>
            <w:tcW w:w="1314" w:type="dxa"/>
            <w:vAlign w:val="center"/>
          </w:tcPr>
          <w:p>
            <w:pPr>
              <w:pStyle w:val="19"/>
              <w:jc w:val="right"/>
              <w:rPr>
                <w:kern w:val="0"/>
                <w:sz w:val="15"/>
                <w:szCs w:val="15"/>
              </w:rPr>
            </w:pPr>
            <w:r>
              <w:rPr>
                <w:sz w:val="15"/>
                <w:szCs w:val="15"/>
              </w:rPr>
              <w:t>175,537,692.26</w:t>
            </w:r>
          </w:p>
        </w:tc>
        <w:tc>
          <w:tcPr>
            <w:tcW w:w="1088" w:type="dxa"/>
            <w:vAlign w:val="center"/>
          </w:tcPr>
          <w:p>
            <w:pPr>
              <w:pStyle w:val="19"/>
              <w:jc w:val="right"/>
              <w:rPr>
                <w:kern w:val="0"/>
                <w:sz w:val="15"/>
                <w:szCs w:val="15"/>
              </w:rPr>
            </w:pPr>
            <w:r>
              <w:rPr>
                <w:sz w:val="15"/>
                <w:szCs w:val="15"/>
              </w:rPr>
              <w:t>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2227" w:type="dxa"/>
            <w:vAlign w:val="center"/>
          </w:tcPr>
          <w:p>
            <w:pPr>
              <w:pStyle w:val="19"/>
              <w:widowControl/>
              <w:spacing w:line="200" w:lineRule="exact"/>
              <w:jc w:val="left"/>
              <w:rPr>
                <w:kern w:val="0"/>
                <w:sz w:val="15"/>
                <w:szCs w:val="15"/>
              </w:rPr>
            </w:pPr>
            <w:r>
              <w:rPr>
                <w:rFonts w:hint="eastAsia"/>
                <w:kern w:val="0"/>
                <w:sz w:val="15"/>
                <w:szCs w:val="15"/>
              </w:rPr>
              <w:t xml:space="preserve">3、项目资本金 </w:t>
            </w:r>
          </w:p>
          <w:p>
            <w:pPr>
              <w:pStyle w:val="19"/>
              <w:widowControl/>
              <w:spacing w:line="200" w:lineRule="exact"/>
              <w:jc w:val="left"/>
              <w:rPr>
                <w:kern w:val="0"/>
                <w:sz w:val="15"/>
                <w:szCs w:val="15"/>
              </w:rPr>
            </w:pPr>
            <w:r>
              <w:rPr>
                <w:rFonts w:hint="eastAsia"/>
                <w:kern w:val="0"/>
                <w:sz w:val="15"/>
                <w:szCs w:val="15"/>
              </w:rPr>
              <w:t>Project Capital</w:t>
            </w:r>
          </w:p>
        </w:tc>
        <w:tc>
          <w:tcPr>
            <w:tcW w:w="1260" w:type="dxa"/>
            <w:vAlign w:val="center"/>
          </w:tcPr>
          <w:p>
            <w:pPr>
              <w:pStyle w:val="19"/>
              <w:jc w:val="right"/>
              <w:rPr>
                <w:bCs/>
                <w:sz w:val="15"/>
                <w:szCs w:val="15"/>
              </w:rPr>
            </w:pPr>
            <w:r>
              <w:rPr>
                <w:bCs/>
                <w:sz w:val="15"/>
                <w:szCs w:val="15"/>
              </w:rPr>
              <w:t xml:space="preserve">                                         </w:t>
            </w:r>
          </w:p>
        </w:tc>
        <w:tc>
          <w:tcPr>
            <w:tcW w:w="1256" w:type="dxa"/>
            <w:vAlign w:val="center"/>
          </w:tcPr>
          <w:p>
            <w:pPr>
              <w:pStyle w:val="19"/>
              <w:jc w:val="right"/>
              <w:rPr>
                <w:sz w:val="15"/>
                <w:szCs w:val="15"/>
              </w:rPr>
            </w:pPr>
            <w:r>
              <w:rPr>
                <w:sz w:val="15"/>
                <w:szCs w:val="15"/>
              </w:rPr>
              <w:t xml:space="preserve">                                     </w:t>
            </w:r>
          </w:p>
        </w:tc>
        <w:tc>
          <w:tcPr>
            <w:tcW w:w="1118" w:type="dxa"/>
            <w:vAlign w:val="center"/>
          </w:tcPr>
          <w:p>
            <w:pPr>
              <w:pStyle w:val="19"/>
              <w:jc w:val="right"/>
              <w:rPr>
                <w:sz w:val="15"/>
                <w:szCs w:val="15"/>
              </w:rPr>
            </w:pPr>
            <w:r>
              <w:rPr>
                <w:sz w:val="15"/>
                <w:szCs w:val="15"/>
              </w:rPr>
              <w:t>　</w:t>
            </w:r>
          </w:p>
        </w:tc>
        <w:tc>
          <w:tcPr>
            <w:tcW w:w="1327" w:type="dxa"/>
            <w:vAlign w:val="center"/>
          </w:tcPr>
          <w:p>
            <w:pPr>
              <w:pStyle w:val="19"/>
              <w:jc w:val="right"/>
              <w:rPr>
                <w:sz w:val="15"/>
                <w:szCs w:val="15"/>
              </w:rPr>
            </w:pPr>
            <w:r>
              <w:rPr>
                <w:sz w:val="15"/>
                <w:szCs w:val="15"/>
              </w:rPr>
              <w:t xml:space="preserve">                                        </w:t>
            </w:r>
          </w:p>
        </w:tc>
        <w:tc>
          <w:tcPr>
            <w:tcW w:w="1314" w:type="dxa"/>
            <w:vAlign w:val="center"/>
          </w:tcPr>
          <w:p>
            <w:pPr>
              <w:pStyle w:val="19"/>
              <w:jc w:val="right"/>
              <w:rPr>
                <w:sz w:val="15"/>
                <w:szCs w:val="15"/>
              </w:rPr>
            </w:pPr>
          </w:p>
        </w:tc>
        <w:tc>
          <w:tcPr>
            <w:tcW w:w="1088" w:type="dxa"/>
            <w:vAlign w:val="center"/>
          </w:tcPr>
          <w:p>
            <w:pPr>
              <w:pStyle w:val="19"/>
              <w:jc w:val="right"/>
              <w:rPr>
                <w:sz w:val="15"/>
                <w:szCs w:val="15"/>
              </w:rPr>
            </w:pPr>
            <w:r>
              <w:rPr>
                <w:sz w:val="15"/>
                <w:szCs w:val="15"/>
              </w:rPr>
              <w:t>　</w:t>
            </w:r>
          </w:p>
        </w:tc>
      </w:tr>
      <w:bookmarkEnd w:id="26"/>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227" w:type="dxa"/>
            <w:vAlign w:val="center"/>
          </w:tcPr>
          <w:p>
            <w:pPr>
              <w:pStyle w:val="19"/>
              <w:widowControl/>
              <w:spacing w:line="200" w:lineRule="exact"/>
              <w:jc w:val="left"/>
              <w:rPr>
                <w:kern w:val="0"/>
                <w:sz w:val="15"/>
                <w:szCs w:val="15"/>
              </w:rPr>
            </w:pPr>
            <w:r>
              <w:rPr>
                <w:kern w:val="0"/>
                <w:sz w:val="15"/>
                <w:szCs w:val="15"/>
              </w:rPr>
              <w:t>资金运用合计（按项目内容）</w:t>
            </w:r>
          </w:p>
          <w:p>
            <w:pPr>
              <w:pStyle w:val="19"/>
              <w:widowControl/>
              <w:spacing w:line="200" w:lineRule="exact"/>
              <w:jc w:val="left"/>
              <w:rPr>
                <w:kern w:val="0"/>
                <w:sz w:val="15"/>
                <w:szCs w:val="15"/>
              </w:rPr>
            </w:pPr>
            <w:r>
              <w:rPr>
                <w:kern w:val="0"/>
                <w:sz w:val="15"/>
                <w:szCs w:val="15"/>
              </w:rPr>
              <w:t xml:space="preserve">Total Application of Funds  (by Project Component)                                                                                                                             </w:t>
            </w:r>
          </w:p>
        </w:tc>
        <w:tc>
          <w:tcPr>
            <w:tcW w:w="1260" w:type="dxa"/>
            <w:vAlign w:val="center"/>
          </w:tcPr>
          <w:p>
            <w:pPr>
              <w:pStyle w:val="19"/>
              <w:jc w:val="right"/>
              <w:rPr>
                <w:bCs/>
                <w:kern w:val="2"/>
                <w:sz w:val="15"/>
                <w:szCs w:val="15"/>
              </w:rPr>
            </w:pPr>
            <w:r>
              <w:rPr>
                <w:bCs/>
                <w:kern w:val="2"/>
                <w:sz w:val="15"/>
                <w:szCs w:val="15"/>
              </w:rPr>
              <w:t xml:space="preserve"> </w:t>
            </w:r>
            <w:r>
              <w:rPr>
                <w:b w:val="0"/>
                <w:bCs/>
                <w:sz w:val="15"/>
                <w:szCs w:val="15"/>
              </w:rPr>
              <w:t>411,727,890.00</w:t>
            </w:r>
          </w:p>
        </w:tc>
        <w:tc>
          <w:tcPr>
            <w:tcW w:w="1256" w:type="dxa"/>
            <w:vAlign w:val="center"/>
          </w:tcPr>
          <w:p>
            <w:pPr>
              <w:pStyle w:val="19"/>
              <w:jc w:val="right"/>
              <w:rPr>
                <w:kern w:val="0"/>
                <w:sz w:val="15"/>
                <w:szCs w:val="15"/>
              </w:rPr>
            </w:pPr>
            <w:r>
              <w:rPr>
                <w:bCs/>
                <w:sz w:val="15"/>
                <w:szCs w:val="15"/>
              </w:rPr>
              <w:t>121,713,130.03</w:t>
            </w:r>
          </w:p>
        </w:tc>
        <w:tc>
          <w:tcPr>
            <w:tcW w:w="1118" w:type="dxa"/>
            <w:vAlign w:val="center"/>
          </w:tcPr>
          <w:p>
            <w:pPr>
              <w:pStyle w:val="19"/>
              <w:jc w:val="right"/>
              <w:rPr>
                <w:kern w:val="0"/>
                <w:sz w:val="15"/>
                <w:szCs w:val="15"/>
              </w:rPr>
            </w:pPr>
            <w:r>
              <w:rPr>
                <w:bCs/>
                <w:sz w:val="15"/>
                <w:szCs w:val="15"/>
              </w:rPr>
              <w:t>29.56%</w:t>
            </w:r>
          </w:p>
        </w:tc>
        <w:tc>
          <w:tcPr>
            <w:tcW w:w="1327" w:type="dxa"/>
            <w:vAlign w:val="center"/>
          </w:tcPr>
          <w:p>
            <w:pPr>
              <w:pStyle w:val="19"/>
              <w:jc w:val="right"/>
              <w:rPr>
                <w:kern w:val="0"/>
                <w:sz w:val="15"/>
                <w:szCs w:val="15"/>
              </w:rPr>
            </w:pPr>
            <w:r>
              <w:rPr>
                <w:kern w:val="0"/>
                <w:sz w:val="15"/>
                <w:szCs w:val="15"/>
              </w:rPr>
              <w:t xml:space="preserve">1,213,118,500.00 </w:t>
            </w:r>
          </w:p>
        </w:tc>
        <w:tc>
          <w:tcPr>
            <w:tcW w:w="1314" w:type="dxa"/>
            <w:vAlign w:val="center"/>
          </w:tcPr>
          <w:p>
            <w:pPr>
              <w:pStyle w:val="19"/>
              <w:jc w:val="right"/>
              <w:rPr>
                <w:kern w:val="0"/>
                <w:sz w:val="15"/>
                <w:szCs w:val="15"/>
              </w:rPr>
            </w:pPr>
            <w:r>
              <w:rPr>
                <w:bCs/>
                <w:sz w:val="15"/>
                <w:szCs w:val="15"/>
              </w:rPr>
              <w:t>402,486,216.17</w:t>
            </w:r>
          </w:p>
        </w:tc>
        <w:tc>
          <w:tcPr>
            <w:tcW w:w="1088" w:type="dxa"/>
            <w:vAlign w:val="center"/>
          </w:tcPr>
          <w:p>
            <w:pPr>
              <w:pStyle w:val="19"/>
              <w:jc w:val="right"/>
              <w:rPr>
                <w:kern w:val="0"/>
                <w:sz w:val="15"/>
                <w:szCs w:val="15"/>
              </w:rPr>
            </w:pPr>
            <w:r>
              <w:rPr>
                <w:bCs/>
                <w:sz w:val="15"/>
                <w:szCs w:val="15"/>
              </w:rPr>
              <w:t>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2227" w:type="dxa"/>
            <w:vAlign w:val="bottom"/>
          </w:tcPr>
          <w:p>
            <w:pPr>
              <w:pStyle w:val="19"/>
              <w:widowControl/>
              <w:numPr>
                <w:ilvl w:val="0"/>
                <w:numId w:val="2"/>
              </w:numPr>
              <w:snapToGrid w:val="0"/>
              <w:jc w:val="left"/>
              <w:rPr>
                <w:kern w:val="0"/>
                <w:sz w:val="15"/>
                <w:szCs w:val="15"/>
              </w:rPr>
            </w:pPr>
            <w:r>
              <w:rPr>
                <w:rFonts w:hint="eastAsia"/>
                <w:kern w:val="0"/>
                <w:sz w:val="15"/>
                <w:szCs w:val="15"/>
              </w:rPr>
              <w:t xml:space="preserve">技术援助 </w:t>
            </w:r>
          </w:p>
          <w:p>
            <w:pPr>
              <w:pStyle w:val="19"/>
              <w:widowControl/>
              <w:snapToGrid w:val="0"/>
              <w:jc w:val="left"/>
              <w:rPr>
                <w:kern w:val="0"/>
                <w:sz w:val="15"/>
                <w:szCs w:val="15"/>
              </w:rPr>
            </w:pPr>
            <w:r>
              <w:rPr>
                <w:kern w:val="0"/>
                <w:sz w:val="15"/>
                <w:szCs w:val="15"/>
              </w:rPr>
              <w:t xml:space="preserve"> Technical Assistance</w:t>
            </w:r>
          </w:p>
        </w:tc>
        <w:tc>
          <w:tcPr>
            <w:tcW w:w="1260" w:type="dxa"/>
            <w:vAlign w:val="center"/>
          </w:tcPr>
          <w:p>
            <w:pPr>
              <w:pStyle w:val="19"/>
              <w:jc w:val="right"/>
              <w:rPr>
                <w:kern w:val="0"/>
                <w:sz w:val="15"/>
                <w:szCs w:val="15"/>
              </w:rPr>
            </w:pPr>
            <w:r>
              <w:rPr>
                <w:kern w:val="0"/>
                <w:sz w:val="15"/>
                <w:szCs w:val="15"/>
              </w:rPr>
              <w:t xml:space="preserve"> </w:t>
            </w:r>
            <w:r>
              <w:rPr>
                <w:sz w:val="15"/>
                <w:szCs w:val="15"/>
              </w:rPr>
              <w:t>1,538,400.00</w:t>
            </w:r>
          </w:p>
        </w:tc>
        <w:tc>
          <w:tcPr>
            <w:tcW w:w="1256" w:type="dxa"/>
            <w:vAlign w:val="center"/>
          </w:tcPr>
          <w:p>
            <w:pPr>
              <w:pStyle w:val="19"/>
              <w:jc w:val="right"/>
              <w:rPr>
                <w:kern w:val="0"/>
                <w:sz w:val="15"/>
                <w:szCs w:val="15"/>
              </w:rPr>
            </w:pPr>
            <w:r>
              <w:rPr>
                <w:sz w:val="15"/>
                <w:szCs w:val="15"/>
              </w:rPr>
              <w:t>138,000.00</w:t>
            </w:r>
          </w:p>
        </w:tc>
        <w:tc>
          <w:tcPr>
            <w:tcW w:w="1118" w:type="dxa"/>
            <w:vAlign w:val="center"/>
          </w:tcPr>
          <w:p>
            <w:pPr>
              <w:pStyle w:val="19"/>
              <w:jc w:val="right"/>
              <w:rPr>
                <w:kern w:val="0"/>
                <w:sz w:val="15"/>
                <w:szCs w:val="15"/>
              </w:rPr>
            </w:pPr>
          </w:p>
        </w:tc>
        <w:tc>
          <w:tcPr>
            <w:tcW w:w="1327" w:type="dxa"/>
            <w:vAlign w:val="center"/>
          </w:tcPr>
          <w:p>
            <w:pPr>
              <w:pStyle w:val="19"/>
              <w:jc w:val="right"/>
              <w:rPr>
                <w:kern w:val="0"/>
                <w:sz w:val="15"/>
                <w:szCs w:val="15"/>
              </w:rPr>
            </w:pPr>
            <w:r>
              <w:rPr>
                <w:kern w:val="0"/>
                <w:sz w:val="15"/>
                <w:szCs w:val="15"/>
              </w:rPr>
              <w:t xml:space="preserve">3,820,000.00 </w:t>
            </w:r>
          </w:p>
        </w:tc>
        <w:tc>
          <w:tcPr>
            <w:tcW w:w="1314" w:type="dxa"/>
            <w:vAlign w:val="center"/>
          </w:tcPr>
          <w:p>
            <w:pPr>
              <w:pStyle w:val="19"/>
              <w:jc w:val="right"/>
              <w:rPr>
                <w:kern w:val="0"/>
                <w:sz w:val="15"/>
                <w:szCs w:val="15"/>
              </w:rPr>
            </w:pPr>
            <w:r>
              <w:rPr>
                <w:sz w:val="15"/>
                <w:szCs w:val="15"/>
              </w:rPr>
              <w:t>242,000.00</w:t>
            </w:r>
          </w:p>
        </w:tc>
        <w:tc>
          <w:tcPr>
            <w:tcW w:w="1088" w:type="dxa"/>
            <w:vAlign w:val="center"/>
          </w:tcPr>
          <w:p>
            <w:pPr>
              <w:pStyle w:val="19"/>
              <w:jc w:val="right"/>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bottom"/>
          </w:tcPr>
          <w:p>
            <w:pPr>
              <w:pStyle w:val="19"/>
              <w:widowControl/>
              <w:numPr>
                <w:ilvl w:val="0"/>
                <w:numId w:val="2"/>
              </w:numPr>
              <w:snapToGrid w:val="0"/>
              <w:jc w:val="left"/>
              <w:rPr>
                <w:kern w:val="0"/>
                <w:sz w:val="15"/>
                <w:szCs w:val="15"/>
              </w:rPr>
            </w:pPr>
            <w:r>
              <w:rPr>
                <w:rFonts w:hint="eastAsia"/>
                <w:kern w:val="0"/>
                <w:sz w:val="15"/>
                <w:szCs w:val="15"/>
              </w:rPr>
              <w:t>邻水县基础设施建设</w:t>
            </w:r>
          </w:p>
          <w:p>
            <w:pPr>
              <w:pStyle w:val="19"/>
              <w:widowControl/>
              <w:snapToGrid w:val="0"/>
              <w:jc w:val="left"/>
              <w:rPr>
                <w:kern w:val="0"/>
                <w:sz w:val="15"/>
                <w:szCs w:val="15"/>
              </w:rPr>
            </w:pPr>
            <w:r>
              <w:rPr>
                <w:rFonts w:hint="eastAsia"/>
                <w:kern w:val="0"/>
                <w:sz w:val="15"/>
                <w:szCs w:val="15"/>
              </w:rPr>
              <w:t xml:space="preserve"> Urban Infrastructure Investment for Linshui County</w:t>
            </w:r>
          </w:p>
        </w:tc>
        <w:tc>
          <w:tcPr>
            <w:tcW w:w="1260" w:type="dxa"/>
            <w:vAlign w:val="center"/>
          </w:tcPr>
          <w:p>
            <w:pPr>
              <w:pStyle w:val="19"/>
              <w:jc w:val="right"/>
              <w:rPr>
                <w:kern w:val="0"/>
                <w:sz w:val="15"/>
                <w:szCs w:val="15"/>
              </w:rPr>
            </w:pPr>
            <w:r>
              <w:rPr>
                <w:sz w:val="15"/>
                <w:szCs w:val="15"/>
              </w:rPr>
              <w:t>283,300,000.00</w:t>
            </w:r>
          </w:p>
        </w:tc>
        <w:tc>
          <w:tcPr>
            <w:tcW w:w="1256" w:type="dxa"/>
            <w:vAlign w:val="center"/>
          </w:tcPr>
          <w:p>
            <w:pPr>
              <w:pStyle w:val="19"/>
              <w:jc w:val="right"/>
              <w:rPr>
                <w:kern w:val="0"/>
                <w:sz w:val="15"/>
                <w:szCs w:val="15"/>
              </w:rPr>
            </w:pPr>
            <w:r>
              <w:rPr>
                <w:sz w:val="15"/>
                <w:szCs w:val="15"/>
              </w:rPr>
              <w:t>78,631,617.81</w:t>
            </w:r>
          </w:p>
        </w:tc>
        <w:tc>
          <w:tcPr>
            <w:tcW w:w="1118" w:type="dxa"/>
            <w:vAlign w:val="center"/>
          </w:tcPr>
          <w:p>
            <w:pPr>
              <w:pStyle w:val="19"/>
              <w:jc w:val="right"/>
              <w:rPr>
                <w:kern w:val="0"/>
                <w:sz w:val="15"/>
                <w:szCs w:val="15"/>
              </w:rPr>
            </w:pPr>
            <w:r>
              <w:rPr>
                <w:sz w:val="15"/>
                <w:szCs w:val="15"/>
              </w:rPr>
              <w:t>27.76%</w:t>
            </w:r>
          </w:p>
        </w:tc>
        <w:tc>
          <w:tcPr>
            <w:tcW w:w="1327" w:type="dxa"/>
            <w:vAlign w:val="center"/>
          </w:tcPr>
          <w:p>
            <w:pPr>
              <w:pStyle w:val="19"/>
              <w:jc w:val="right"/>
              <w:rPr>
                <w:kern w:val="0"/>
                <w:sz w:val="15"/>
                <w:szCs w:val="15"/>
              </w:rPr>
            </w:pPr>
            <w:r>
              <w:rPr>
                <w:kern w:val="0"/>
                <w:sz w:val="15"/>
                <w:szCs w:val="15"/>
              </w:rPr>
              <w:t xml:space="preserve">712,751,000.00 </w:t>
            </w:r>
          </w:p>
        </w:tc>
        <w:tc>
          <w:tcPr>
            <w:tcW w:w="1314" w:type="dxa"/>
            <w:vAlign w:val="center"/>
          </w:tcPr>
          <w:p>
            <w:pPr>
              <w:pStyle w:val="19"/>
              <w:jc w:val="right"/>
              <w:rPr>
                <w:kern w:val="0"/>
                <w:sz w:val="15"/>
                <w:szCs w:val="15"/>
              </w:rPr>
            </w:pPr>
            <w:r>
              <w:rPr>
                <w:sz w:val="15"/>
                <w:szCs w:val="15"/>
              </w:rPr>
              <w:t>258,813,165.47</w:t>
            </w:r>
          </w:p>
        </w:tc>
        <w:tc>
          <w:tcPr>
            <w:tcW w:w="1088" w:type="dxa"/>
            <w:vAlign w:val="center"/>
          </w:tcPr>
          <w:p>
            <w:pPr>
              <w:pStyle w:val="19"/>
              <w:widowControl/>
              <w:spacing w:line="0" w:lineRule="atLeast"/>
              <w:jc w:val="right"/>
              <w:rPr>
                <w:kern w:val="0"/>
                <w:sz w:val="15"/>
                <w:szCs w:val="15"/>
              </w:rPr>
            </w:pPr>
            <w:r>
              <w:rPr>
                <w:sz w:val="15"/>
                <w:szCs w:val="15"/>
              </w:rPr>
              <w:t>36.31%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2227" w:type="dxa"/>
            <w:vAlign w:val="bottom"/>
          </w:tcPr>
          <w:p>
            <w:pPr>
              <w:pStyle w:val="19"/>
              <w:widowControl/>
              <w:numPr>
                <w:ilvl w:val="0"/>
                <w:numId w:val="2"/>
              </w:numPr>
              <w:snapToGrid w:val="0"/>
              <w:jc w:val="left"/>
              <w:rPr>
                <w:kern w:val="0"/>
                <w:sz w:val="15"/>
                <w:szCs w:val="15"/>
              </w:rPr>
            </w:pPr>
            <w:r>
              <w:rPr>
                <w:rFonts w:hint="eastAsia"/>
                <w:kern w:val="0"/>
                <w:sz w:val="15"/>
                <w:szCs w:val="15"/>
              </w:rPr>
              <w:t xml:space="preserve">前锋区基础设施建设 </w:t>
            </w:r>
          </w:p>
          <w:p>
            <w:pPr>
              <w:pStyle w:val="19"/>
              <w:widowControl/>
              <w:snapToGrid w:val="0"/>
              <w:jc w:val="left"/>
              <w:rPr>
                <w:kern w:val="0"/>
                <w:sz w:val="15"/>
                <w:szCs w:val="15"/>
              </w:rPr>
            </w:pPr>
            <w:r>
              <w:rPr>
                <w:rFonts w:hint="eastAsia"/>
                <w:kern w:val="0"/>
                <w:sz w:val="15"/>
                <w:szCs w:val="15"/>
              </w:rPr>
              <w:t>Urban Infrastructure Investment for Qianfeng District</w:t>
            </w:r>
          </w:p>
        </w:tc>
        <w:tc>
          <w:tcPr>
            <w:tcW w:w="1260" w:type="dxa"/>
            <w:vAlign w:val="center"/>
          </w:tcPr>
          <w:p>
            <w:pPr>
              <w:pStyle w:val="19"/>
              <w:jc w:val="right"/>
              <w:rPr>
                <w:kern w:val="0"/>
                <w:sz w:val="15"/>
                <w:szCs w:val="15"/>
              </w:rPr>
            </w:pPr>
            <w:r>
              <w:rPr>
                <w:sz w:val="15"/>
                <w:szCs w:val="15"/>
              </w:rPr>
              <w:t>124,000,000.00</w:t>
            </w:r>
          </w:p>
        </w:tc>
        <w:tc>
          <w:tcPr>
            <w:tcW w:w="1256" w:type="dxa"/>
            <w:vAlign w:val="center"/>
          </w:tcPr>
          <w:p>
            <w:pPr>
              <w:pStyle w:val="19"/>
              <w:jc w:val="right"/>
              <w:rPr>
                <w:kern w:val="0"/>
                <w:sz w:val="15"/>
                <w:szCs w:val="15"/>
              </w:rPr>
            </w:pPr>
            <w:r>
              <w:rPr>
                <w:sz w:val="15"/>
                <w:szCs w:val="15"/>
              </w:rPr>
              <w:t>42,005,775.67</w:t>
            </w:r>
          </w:p>
        </w:tc>
        <w:tc>
          <w:tcPr>
            <w:tcW w:w="1118" w:type="dxa"/>
            <w:vAlign w:val="center"/>
          </w:tcPr>
          <w:p>
            <w:pPr>
              <w:pStyle w:val="19"/>
              <w:jc w:val="right"/>
              <w:rPr>
                <w:kern w:val="0"/>
                <w:sz w:val="15"/>
                <w:szCs w:val="15"/>
              </w:rPr>
            </w:pPr>
            <w:r>
              <w:rPr>
                <w:sz w:val="15"/>
                <w:szCs w:val="15"/>
              </w:rPr>
              <w:t>33.88%</w:t>
            </w:r>
          </w:p>
        </w:tc>
        <w:tc>
          <w:tcPr>
            <w:tcW w:w="1327" w:type="dxa"/>
            <w:vAlign w:val="center"/>
          </w:tcPr>
          <w:p>
            <w:pPr>
              <w:pStyle w:val="19"/>
              <w:jc w:val="right"/>
              <w:rPr>
                <w:kern w:val="0"/>
                <w:sz w:val="15"/>
                <w:szCs w:val="15"/>
              </w:rPr>
            </w:pPr>
            <w:r>
              <w:rPr>
                <w:kern w:val="0"/>
                <w:sz w:val="15"/>
                <w:szCs w:val="15"/>
              </w:rPr>
              <w:t xml:space="preserve">  473,283,200.00 </w:t>
            </w:r>
          </w:p>
        </w:tc>
        <w:tc>
          <w:tcPr>
            <w:tcW w:w="1314" w:type="dxa"/>
            <w:vAlign w:val="center"/>
          </w:tcPr>
          <w:p>
            <w:pPr>
              <w:pStyle w:val="19"/>
              <w:jc w:val="right"/>
              <w:rPr>
                <w:kern w:val="0"/>
                <w:sz w:val="15"/>
                <w:szCs w:val="15"/>
              </w:rPr>
            </w:pPr>
            <w:r>
              <w:rPr>
                <w:sz w:val="15"/>
                <w:szCs w:val="15"/>
              </w:rPr>
              <w:t>136,281,302.30</w:t>
            </w:r>
          </w:p>
        </w:tc>
        <w:tc>
          <w:tcPr>
            <w:tcW w:w="1088" w:type="dxa"/>
            <w:vAlign w:val="center"/>
          </w:tcPr>
          <w:p>
            <w:pPr>
              <w:pStyle w:val="19"/>
              <w:jc w:val="right"/>
              <w:rPr>
                <w:kern w:val="0"/>
                <w:sz w:val="15"/>
                <w:szCs w:val="15"/>
              </w:rPr>
            </w:pPr>
            <w:r>
              <w:rPr>
                <w:sz w:val="15"/>
                <w:szCs w:val="15"/>
              </w:rPr>
              <w:t>28.79%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27" w:type="dxa"/>
            <w:vAlign w:val="bottom"/>
          </w:tcPr>
          <w:p>
            <w:pPr>
              <w:pStyle w:val="19"/>
              <w:widowControl/>
              <w:snapToGrid w:val="0"/>
              <w:jc w:val="left"/>
              <w:rPr>
                <w:kern w:val="0"/>
                <w:sz w:val="15"/>
                <w:szCs w:val="15"/>
              </w:rPr>
            </w:pPr>
            <w:r>
              <w:rPr>
                <w:rFonts w:hint="eastAsia"/>
                <w:kern w:val="0"/>
                <w:sz w:val="15"/>
                <w:szCs w:val="15"/>
              </w:rPr>
              <w:t xml:space="preserve"> 4、项目管理和能力建设 Project Management &amp; Capacity Building</w:t>
            </w:r>
          </w:p>
        </w:tc>
        <w:tc>
          <w:tcPr>
            <w:tcW w:w="1260" w:type="dxa"/>
            <w:vAlign w:val="center"/>
          </w:tcPr>
          <w:p>
            <w:pPr>
              <w:pStyle w:val="19"/>
              <w:jc w:val="right"/>
              <w:rPr>
                <w:kern w:val="0"/>
                <w:sz w:val="15"/>
                <w:szCs w:val="15"/>
              </w:rPr>
            </w:pPr>
            <w:r>
              <w:rPr>
                <w:sz w:val="15"/>
                <w:szCs w:val="15"/>
              </w:rPr>
              <w:t>2,889,490.00</w:t>
            </w:r>
          </w:p>
        </w:tc>
        <w:tc>
          <w:tcPr>
            <w:tcW w:w="1256" w:type="dxa"/>
            <w:vAlign w:val="center"/>
          </w:tcPr>
          <w:p>
            <w:pPr>
              <w:pStyle w:val="19"/>
              <w:jc w:val="right"/>
              <w:rPr>
                <w:kern w:val="0"/>
                <w:sz w:val="15"/>
                <w:szCs w:val="15"/>
              </w:rPr>
            </w:pPr>
            <w:r>
              <w:rPr>
                <w:sz w:val="15"/>
                <w:szCs w:val="15"/>
              </w:rPr>
              <w:t>937,736.55</w:t>
            </w:r>
          </w:p>
        </w:tc>
        <w:tc>
          <w:tcPr>
            <w:tcW w:w="1118" w:type="dxa"/>
            <w:vAlign w:val="center"/>
          </w:tcPr>
          <w:p>
            <w:pPr>
              <w:pStyle w:val="19"/>
              <w:jc w:val="right"/>
              <w:rPr>
                <w:kern w:val="0"/>
                <w:sz w:val="15"/>
                <w:szCs w:val="15"/>
              </w:rPr>
            </w:pPr>
            <w:r>
              <w:rPr>
                <w:sz w:val="15"/>
                <w:szCs w:val="15"/>
              </w:rPr>
              <w:t>32.45%</w:t>
            </w:r>
          </w:p>
        </w:tc>
        <w:tc>
          <w:tcPr>
            <w:tcW w:w="1327" w:type="dxa"/>
            <w:vAlign w:val="center"/>
          </w:tcPr>
          <w:p>
            <w:pPr>
              <w:pStyle w:val="19"/>
              <w:jc w:val="right"/>
              <w:rPr>
                <w:kern w:val="0"/>
                <w:sz w:val="15"/>
                <w:szCs w:val="15"/>
              </w:rPr>
            </w:pPr>
            <w:r>
              <w:rPr>
                <w:kern w:val="0"/>
                <w:sz w:val="15"/>
                <w:szCs w:val="15"/>
              </w:rPr>
              <w:t xml:space="preserve">23,264,300.00 </w:t>
            </w:r>
          </w:p>
        </w:tc>
        <w:tc>
          <w:tcPr>
            <w:tcW w:w="1314" w:type="dxa"/>
            <w:vAlign w:val="center"/>
          </w:tcPr>
          <w:p>
            <w:pPr>
              <w:pStyle w:val="19"/>
              <w:jc w:val="right"/>
              <w:rPr>
                <w:kern w:val="0"/>
                <w:sz w:val="15"/>
                <w:szCs w:val="15"/>
              </w:rPr>
            </w:pPr>
            <w:r>
              <w:rPr>
                <w:sz w:val="15"/>
                <w:szCs w:val="15"/>
              </w:rPr>
              <w:t>7,149,748.40</w:t>
            </w:r>
          </w:p>
        </w:tc>
        <w:tc>
          <w:tcPr>
            <w:tcW w:w="1088" w:type="dxa"/>
            <w:vAlign w:val="center"/>
          </w:tcPr>
          <w:p>
            <w:pPr>
              <w:pStyle w:val="19"/>
              <w:jc w:val="right"/>
              <w:rPr>
                <w:kern w:val="0"/>
                <w:sz w:val="15"/>
                <w:szCs w:val="15"/>
              </w:rPr>
            </w:pPr>
            <w:r>
              <w:rPr>
                <w:sz w:val="15"/>
                <w:szCs w:val="15"/>
              </w:rPr>
              <w:t>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2227" w:type="dxa"/>
            <w:vAlign w:val="center"/>
          </w:tcPr>
          <w:p>
            <w:pPr>
              <w:pStyle w:val="19"/>
              <w:widowControl/>
              <w:spacing w:line="200" w:lineRule="exact"/>
              <w:jc w:val="left"/>
              <w:rPr>
                <w:kern w:val="0"/>
                <w:sz w:val="15"/>
                <w:szCs w:val="15"/>
              </w:rPr>
            </w:pPr>
            <w:r>
              <w:rPr>
                <w:kern w:val="0"/>
                <w:sz w:val="15"/>
                <w:szCs w:val="15"/>
              </w:rPr>
              <w:t xml:space="preserve">差异  Difference                                                                                                                                 </w:t>
            </w:r>
          </w:p>
        </w:tc>
        <w:tc>
          <w:tcPr>
            <w:tcW w:w="1260" w:type="dxa"/>
            <w:vAlign w:val="center"/>
          </w:tcPr>
          <w:p>
            <w:pPr>
              <w:pStyle w:val="19"/>
              <w:jc w:val="right"/>
              <w:rPr>
                <w:kern w:val="0"/>
                <w:sz w:val="15"/>
                <w:szCs w:val="15"/>
              </w:rPr>
            </w:pPr>
            <w:r>
              <w:rPr>
                <w:kern w:val="0"/>
                <w:sz w:val="15"/>
                <w:szCs w:val="15"/>
              </w:rPr>
              <w:t>　</w:t>
            </w:r>
          </w:p>
        </w:tc>
        <w:tc>
          <w:tcPr>
            <w:tcW w:w="1256" w:type="dxa"/>
            <w:vAlign w:val="center"/>
          </w:tcPr>
          <w:p>
            <w:pPr>
              <w:pStyle w:val="19"/>
              <w:widowControl/>
              <w:spacing w:line="0" w:lineRule="atLeast"/>
              <w:jc w:val="right"/>
              <w:rPr>
                <w:sz w:val="15"/>
                <w:szCs w:val="15"/>
              </w:rPr>
            </w:pPr>
            <w:r>
              <w:rPr>
                <w:sz w:val="15"/>
                <w:szCs w:val="15"/>
              </w:rPr>
              <w:t>-18,561,088.17</w:t>
            </w:r>
          </w:p>
        </w:tc>
        <w:tc>
          <w:tcPr>
            <w:tcW w:w="1118" w:type="dxa"/>
            <w:vAlign w:val="center"/>
          </w:tcPr>
          <w:p>
            <w:pPr>
              <w:pStyle w:val="19"/>
              <w:jc w:val="right"/>
              <w:rPr>
                <w:kern w:val="0"/>
                <w:sz w:val="15"/>
                <w:szCs w:val="15"/>
              </w:rPr>
            </w:pPr>
            <w:r>
              <w:rPr>
                <w:kern w:val="0"/>
                <w:sz w:val="15"/>
                <w:szCs w:val="15"/>
              </w:rPr>
              <w:t>　</w:t>
            </w:r>
          </w:p>
        </w:tc>
        <w:tc>
          <w:tcPr>
            <w:tcW w:w="1327" w:type="dxa"/>
            <w:vAlign w:val="center"/>
          </w:tcPr>
          <w:p>
            <w:pPr>
              <w:pStyle w:val="19"/>
              <w:jc w:val="right"/>
              <w:rPr>
                <w:kern w:val="0"/>
                <w:sz w:val="15"/>
                <w:szCs w:val="15"/>
              </w:rPr>
            </w:pPr>
            <w:r>
              <w:rPr>
                <w:kern w:val="0"/>
                <w:sz w:val="15"/>
                <w:szCs w:val="15"/>
              </w:rPr>
              <w:t>　</w:t>
            </w:r>
          </w:p>
        </w:tc>
        <w:tc>
          <w:tcPr>
            <w:tcW w:w="1314" w:type="dxa"/>
            <w:vAlign w:val="center"/>
          </w:tcPr>
          <w:p>
            <w:pPr>
              <w:pStyle w:val="19"/>
              <w:widowControl/>
              <w:spacing w:line="0" w:lineRule="atLeast"/>
              <w:jc w:val="right"/>
              <w:rPr>
                <w:sz w:val="15"/>
                <w:szCs w:val="15"/>
              </w:rPr>
            </w:pPr>
            <w:r>
              <w:rPr>
                <w:sz w:val="15"/>
                <w:szCs w:val="15"/>
              </w:rPr>
              <w:t>24,678,754.26</w:t>
            </w:r>
          </w:p>
        </w:tc>
        <w:tc>
          <w:tcPr>
            <w:tcW w:w="1088" w:type="dxa"/>
            <w:vAlign w:val="center"/>
          </w:tcPr>
          <w:p>
            <w:pPr>
              <w:pStyle w:val="19"/>
              <w:jc w:val="right"/>
              <w:rPr>
                <w:kern w:val="0"/>
                <w:sz w:val="15"/>
                <w:szCs w:val="15"/>
              </w:rPr>
            </w:pPr>
            <w:r>
              <w:rPr>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2227" w:type="dxa"/>
            <w:vAlign w:val="center"/>
          </w:tcPr>
          <w:p>
            <w:pPr>
              <w:pStyle w:val="19"/>
              <w:widowControl/>
              <w:spacing w:line="200" w:lineRule="exact"/>
              <w:ind w:left="150" w:hanging="150" w:hangingChars="100"/>
              <w:jc w:val="left"/>
              <w:rPr>
                <w:kern w:val="0"/>
                <w:sz w:val="15"/>
                <w:szCs w:val="15"/>
              </w:rPr>
            </w:pPr>
            <w:r>
              <w:rPr>
                <w:kern w:val="0"/>
                <w:sz w:val="15"/>
                <w:szCs w:val="15"/>
              </w:rPr>
              <w:t>1. 应收款变化</w:t>
            </w:r>
          </w:p>
          <w:p>
            <w:pPr>
              <w:pStyle w:val="19"/>
              <w:widowControl/>
              <w:spacing w:line="200" w:lineRule="exact"/>
              <w:ind w:left="150" w:hanging="150" w:hangingChars="100"/>
              <w:jc w:val="left"/>
              <w:rPr>
                <w:kern w:val="0"/>
                <w:sz w:val="15"/>
                <w:szCs w:val="15"/>
              </w:rPr>
            </w:pPr>
            <w:r>
              <w:rPr>
                <w:kern w:val="0"/>
                <w:sz w:val="15"/>
                <w:szCs w:val="15"/>
              </w:rPr>
              <w:t xml:space="preserve">Change in Receivables                                                                                                                            </w:t>
            </w:r>
          </w:p>
        </w:tc>
        <w:tc>
          <w:tcPr>
            <w:tcW w:w="1260" w:type="dxa"/>
            <w:vAlign w:val="center"/>
          </w:tcPr>
          <w:p>
            <w:pPr>
              <w:pStyle w:val="19"/>
              <w:jc w:val="right"/>
              <w:rPr>
                <w:kern w:val="0"/>
                <w:sz w:val="15"/>
                <w:szCs w:val="15"/>
              </w:rPr>
            </w:pPr>
            <w:r>
              <w:rPr>
                <w:kern w:val="0"/>
                <w:sz w:val="15"/>
                <w:szCs w:val="15"/>
              </w:rPr>
              <w:t>　</w:t>
            </w:r>
          </w:p>
        </w:tc>
        <w:tc>
          <w:tcPr>
            <w:tcW w:w="1256" w:type="dxa"/>
            <w:vAlign w:val="center"/>
          </w:tcPr>
          <w:p>
            <w:pPr>
              <w:pStyle w:val="19"/>
              <w:widowControl/>
              <w:spacing w:line="0" w:lineRule="atLeast"/>
              <w:jc w:val="right"/>
              <w:rPr>
                <w:sz w:val="15"/>
                <w:szCs w:val="15"/>
              </w:rPr>
            </w:pPr>
            <w:r>
              <w:rPr>
                <w:sz w:val="15"/>
                <w:szCs w:val="15"/>
              </w:rPr>
              <w:t>-8,237,408.95</w:t>
            </w:r>
          </w:p>
        </w:tc>
        <w:tc>
          <w:tcPr>
            <w:tcW w:w="1118" w:type="dxa"/>
            <w:vAlign w:val="center"/>
          </w:tcPr>
          <w:p>
            <w:pPr>
              <w:pStyle w:val="19"/>
              <w:jc w:val="right"/>
              <w:rPr>
                <w:kern w:val="0"/>
                <w:sz w:val="15"/>
                <w:szCs w:val="15"/>
              </w:rPr>
            </w:pPr>
            <w:r>
              <w:rPr>
                <w:kern w:val="0"/>
                <w:sz w:val="15"/>
                <w:szCs w:val="15"/>
              </w:rPr>
              <w:t>　</w:t>
            </w:r>
          </w:p>
        </w:tc>
        <w:tc>
          <w:tcPr>
            <w:tcW w:w="1327" w:type="dxa"/>
            <w:vAlign w:val="center"/>
          </w:tcPr>
          <w:p>
            <w:pPr>
              <w:pStyle w:val="19"/>
              <w:jc w:val="right"/>
              <w:rPr>
                <w:kern w:val="0"/>
                <w:sz w:val="15"/>
                <w:szCs w:val="15"/>
              </w:rPr>
            </w:pPr>
            <w:r>
              <w:rPr>
                <w:kern w:val="0"/>
                <w:sz w:val="15"/>
                <w:szCs w:val="15"/>
              </w:rPr>
              <w:t>　</w:t>
            </w:r>
          </w:p>
        </w:tc>
        <w:tc>
          <w:tcPr>
            <w:tcW w:w="1314" w:type="dxa"/>
            <w:vAlign w:val="center"/>
          </w:tcPr>
          <w:p>
            <w:pPr>
              <w:pStyle w:val="19"/>
              <w:widowControl/>
              <w:spacing w:line="0" w:lineRule="atLeast"/>
              <w:jc w:val="right"/>
              <w:rPr>
                <w:sz w:val="15"/>
                <w:szCs w:val="15"/>
              </w:rPr>
            </w:pPr>
            <w:r>
              <w:rPr>
                <w:sz w:val="15"/>
                <w:szCs w:val="15"/>
              </w:rPr>
              <w:t>17,709,842.62</w:t>
            </w:r>
          </w:p>
        </w:tc>
        <w:tc>
          <w:tcPr>
            <w:tcW w:w="1088" w:type="dxa"/>
            <w:vAlign w:val="center"/>
          </w:tcPr>
          <w:p>
            <w:pPr>
              <w:pStyle w:val="19"/>
              <w:jc w:val="right"/>
              <w:rPr>
                <w:kern w:val="0"/>
                <w:sz w:val="15"/>
                <w:szCs w:val="15"/>
              </w:rPr>
            </w:pPr>
            <w:r>
              <w:rPr>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227" w:type="dxa"/>
            <w:vAlign w:val="center"/>
          </w:tcPr>
          <w:p>
            <w:pPr>
              <w:pStyle w:val="19"/>
              <w:widowControl/>
              <w:spacing w:line="200" w:lineRule="exact"/>
              <w:ind w:left="150" w:hanging="150" w:hangingChars="100"/>
              <w:jc w:val="left"/>
              <w:rPr>
                <w:kern w:val="0"/>
                <w:sz w:val="15"/>
                <w:szCs w:val="15"/>
              </w:rPr>
            </w:pPr>
            <w:r>
              <w:rPr>
                <w:kern w:val="0"/>
                <w:sz w:val="15"/>
                <w:szCs w:val="15"/>
              </w:rPr>
              <w:t>2. 应付款变化</w:t>
            </w:r>
          </w:p>
          <w:p>
            <w:pPr>
              <w:pStyle w:val="19"/>
              <w:widowControl/>
              <w:spacing w:line="200" w:lineRule="exact"/>
              <w:ind w:left="150" w:hanging="150" w:hangingChars="100"/>
              <w:jc w:val="left"/>
              <w:rPr>
                <w:kern w:val="0"/>
                <w:sz w:val="15"/>
                <w:szCs w:val="15"/>
              </w:rPr>
            </w:pPr>
            <w:r>
              <w:rPr>
                <w:kern w:val="0"/>
                <w:sz w:val="15"/>
                <w:szCs w:val="15"/>
              </w:rPr>
              <w:t xml:space="preserve">Change in Payables                                                                                                                        </w:t>
            </w:r>
          </w:p>
        </w:tc>
        <w:tc>
          <w:tcPr>
            <w:tcW w:w="1260" w:type="dxa"/>
            <w:vAlign w:val="center"/>
          </w:tcPr>
          <w:p>
            <w:pPr>
              <w:pStyle w:val="19"/>
              <w:jc w:val="right"/>
              <w:rPr>
                <w:kern w:val="0"/>
                <w:sz w:val="15"/>
                <w:szCs w:val="15"/>
              </w:rPr>
            </w:pPr>
            <w:r>
              <w:rPr>
                <w:kern w:val="0"/>
                <w:sz w:val="15"/>
                <w:szCs w:val="15"/>
              </w:rPr>
              <w:t>　</w:t>
            </w:r>
          </w:p>
        </w:tc>
        <w:tc>
          <w:tcPr>
            <w:tcW w:w="1256" w:type="dxa"/>
            <w:vAlign w:val="center"/>
          </w:tcPr>
          <w:p>
            <w:pPr>
              <w:pStyle w:val="19"/>
              <w:widowControl/>
              <w:spacing w:line="0" w:lineRule="atLeast"/>
              <w:jc w:val="right"/>
              <w:rPr>
                <w:sz w:val="15"/>
                <w:szCs w:val="15"/>
              </w:rPr>
            </w:pPr>
            <w:r>
              <w:rPr>
                <w:sz w:val="15"/>
                <w:szCs w:val="15"/>
              </w:rPr>
              <w:t>-25,389,219.12</w:t>
            </w:r>
          </w:p>
        </w:tc>
        <w:tc>
          <w:tcPr>
            <w:tcW w:w="1118" w:type="dxa"/>
            <w:vAlign w:val="center"/>
          </w:tcPr>
          <w:p>
            <w:pPr>
              <w:pStyle w:val="19"/>
              <w:jc w:val="right"/>
              <w:rPr>
                <w:kern w:val="0"/>
                <w:sz w:val="15"/>
                <w:szCs w:val="15"/>
              </w:rPr>
            </w:pPr>
          </w:p>
        </w:tc>
        <w:tc>
          <w:tcPr>
            <w:tcW w:w="1327" w:type="dxa"/>
            <w:vAlign w:val="center"/>
          </w:tcPr>
          <w:p>
            <w:pPr>
              <w:pStyle w:val="19"/>
              <w:jc w:val="right"/>
              <w:rPr>
                <w:kern w:val="0"/>
                <w:sz w:val="15"/>
                <w:szCs w:val="15"/>
              </w:rPr>
            </w:pPr>
          </w:p>
        </w:tc>
        <w:tc>
          <w:tcPr>
            <w:tcW w:w="1314" w:type="dxa"/>
            <w:vAlign w:val="center"/>
          </w:tcPr>
          <w:p>
            <w:pPr>
              <w:pStyle w:val="19"/>
              <w:widowControl/>
              <w:spacing w:line="0" w:lineRule="atLeast"/>
              <w:jc w:val="right"/>
              <w:rPr>
                <w:sz w:val="15"/>
                <w:szCs w:val="15"/>
              </w:rPr>
            </w:pPr>
            <w:r>
              <w:rPr>
                <w:sz w:val="15"/>
                <w:szCs w:val="15"/>
              </w:rPr>
              <w:t>-42,754,041.85</w:t>
            </w:r>
          </w:p>
        </w:tc>
        <w:tc>
          <w:tcPr>
            <w:tcW w:w="1088" w:type="dxa"/>
            <w:vAlign w:val="center"/>
          </w:tcPr>
          <w:p>
            <w:pPr>
              <w:pStyle w:val="19"/>
              <w:jc w:val="right"/>
              <w:rPr>
                <w:kern w:val="0"/>
                <w:sz w:val="15"/>
                <w:szCs w:val="15"/>
              </w:rPr>
            </w:pPr>
            <w:r>
              <w:rPr>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2227" w:type="dxa"/>
            <w:vAlign w:val="center"/>
          </w:tcPr>
          <w:p>
            <w:pPr>
              <w:pStyle w:val="19"/>
              <w:widowControl/>
              <w:spacing w:line="200" w:lineRule="exact"/>
              <w:ind w:left="150" w:hanging="150" w:hangingChars="100"/>
              <w:jc w:val="left"/>
              <w:rPr>
                <w:kern w:val="0"/>
                <w:sz w:val="15"/>
                <w:szCs w:val="15"/>
              </w:rPr>
            </w:pPr>
            <w:r>
              <w:rPr>
                <w:kern w:val="0"/>
                <w:sz w:val="15"/>
                <w:szCs w:val="15"/>
              </w:rPr>
              <w:t>3. 货币资金变化</w:t>
            </w:r>
          </w:p>
          <w:p>
            <w:pPr>
              <w:pStyle w:val="19"/>
              <w:widowControl/>
              <w:spacing w:line="200" w:lineRule="exact"/>
              <w:ind w:left="150" w:hanging="150" w:hangingChars="100"/>
              <w:jc w:val="left"/>
              <w:rPr>
                <w:kern w:val="0"/>
                <w:sz w:val="15"/>
                <w:szCs w:val="15"/>
              </w:rPr>
            </w:pPr>
            <w:r>
              <w:rPr>
                <w:kern w:val="0"/>
                <w:sz w:val="15"/>
                <w:szCs w:val="15"/>
              </w:rPr>
              <w:t xml:space="preserve">Change in Cash and Bank                                                                                                                  </w:t>
            </w:r>
          </w:p>
        </w:tc>
        <w:tc>
          <w:tcPr>
            <w:tcW w:w="1260" w:type="dxa"/>
            <w:vAlign w:val="center"/>
          </w:tcPr>
          <w:p>
            <w:pPr>
              <w:pStyle w:val="19"/>
              <w:jc w:val="right"/>
              <w:rPr>
                <w:kern w:val="0"/>
                <w:sz w:val="15"/>
                <w:szCs w:val="15"/>
              </w:rPr>
            </w:pPr>
            <w:r>
              <w:rPr>
                <w:kern w:val="0"/>
                <w:sz w:val="15"/>
                <w:szCs w:val="15"/>
              </w:rPr>
              <w:t>　</w:t>
            </w:r>
          </w:p>
        </w:tc>
        <w:tc>
          <w:tcPr>
            <w:tcW w:w="1256" w:type="dxa"/>
            <w:vAlign w:val="center"/>
          </w:tcPr>
          <w:p>
            <w:pPr>
              <w:pStyle w:val="19"/>
              <w:widowControl/>
              <w:spacing w:line="0" w:lineRule="atLeast"/>
              <w:jc w:val="right"/>
              <w:rPr>
                <w:sz w:val="15"/>
                <w:szCs w:val="15"/>
              </w:rPr>
            </w:pPr>
            <w:r>
              <w:rPr>
                <w:sz w:val="15"/>
                <w:szCs w:val="15"/>
              </w:rPr>
              <w:t>15,079,150.91</w:t>
            </w:r>
          </w:p>
        </w:tc>
        <w:tc>
          <w:tcPr>
            <w:tcW w:w="1118" w:type="dxa"/>
            <w:vAlign w:val="center"/>
          </w:tcPr>
          <w:p>
            <w:pPr>
              <w:pStyle w:val="19"/>
              <w:jc w:val="right"/>
              <w:rPr>
                <w:kern w:val="0"/>
                <w:sz w:val="15"/>
                <w:szCs w:val="15"/>
              </w:rPr>
            </w:pPr>
            <w:r>
              <w:rPr>
                <w:kern w:val="0"/>
                <w:sz w:val="15"/>
                <w:szCs w:val="15"/>
              </w:rPr>
              <w:t>　</w:t>
            </w:r>
          </w:p>
        </w:tc>
        <w:tc>
          <w:tcPr>
            <w:tcW w:w="1327" w:type="dxa"/>
            <w:vAlign w:val="center"/>
          </w:tcPr>
          <w:p>
            <w:pPr>
              <w:pStyle w:val="19"/>
              <w:jc w:val="right"/>
              <w:rPr>
                <w:kern w:val="0"/>
                <w:sz w:val="15"/>
                <w:szCs w:val="15"/>
              </w:rPr>
            </w:pPr>
            <w:r>
              <w:rPr>
                <w:kern w:val="0"/>
                <w:sz w:val="15"/>
                <w:szCs w:val="15"/>
              </w:rPr>
              <w:t>　</w:t>
            </w:r>
          </w:p>
        </w:tc>
        <w:tc>
          <w:tcPr>
            <w:tcW w:w="1314" w:type="dxa"/>
            <w:vAlign w:val="center"/>
          </w:tcPr>
          <w:p>
            <w:pPr>
              <w:pStyle w:val="19"/>
              <w:widowControl/>
              <w:spacing w:line="0" w:lineRule="atLeast"/>
              <w:jc w:val="right"/>
              <w:rPr>
                <w:sz w:val="15"/>
                <w:szCs w:val="15"/>
              </w:rPr>
            </w:pPr>
            <w:r>
              <w:rPr>
                <w:sz w:val="15"/>
                <w:szCs w:val="15"/>
              </w:rPr>
              <w:t>49,757,547.84</w:t>
            </w:r>
          </w:p>
        </w:tc>
        <w:tc>
          <w:tcPr>
            <w:tcW w:w="1088" w:type="dxa"/>
            <w:vAlign w:val="center"/>
          </w:tcPr>
          <w:p>
            <w:pPr>
              <w:pStyle w:val="19"/>
              <w:jc w:val="right"/>
              <w:rPr>
                <w:kern w:val="0"/>
                <w:sz w:val="15"/>
                <w:szCs w:val="15"/>
              </w:rPr>
            </w:pPr>
            <w:r>
              <w:rPr>
                <w:kern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2227" w:type="dxa"/>
            <w:vAlign w:val="center"/>
          </w:tcPr>
          <w:p>
            <w:pPr>
              <w:pStyle w:val="19"/>
              <w:widowControl/>
              <w:spacing w:line="200" w:lineRule="exact"/>
              <w:ind w:left="301" w:leftChars="72" w:hanging="150" w:hangingChars="100"/>
              <w:jc w:val="left"/>
              <w:rPr>
                <w:kern w:val="0"/>
                <w:sz w:val="15"/>
                <w:szCs w:val="15"/>
              </w:rPr>
            </w:pPr>
            <w:r>
              <w:rPr>
                <w:kern w:val="0"/>
                <w:sz w:val="15"/>
                <w:szCs w:val="15"/>
              </w:rPr>
              <w:t>4. 其它</w:t>
            </w:r>
          </w:p>
          <w:p>
            <w:pPr>
              <w:pStyle w:val="19"/>
              <w:widowControl/>
              <w:spacing w:line="200" w:lineRule="exact"/>
              <w:ind w:left="301" w:leftChars="72" w:hanging="150" w:hangingChars="100"/>
              <w:jc w:val="left"/>
              <w:rPr>
                <w:kern w:val="0"/>
                <w:sz w:val="15"/>
                <w:szCs w:val="15"/>
              </w:rPr>
            </w:pPr>
            <w:r>
              <w:rPr>
                <w:kern w:val="0"/>
                <w:sz w:val="15"/>
                <w:szCs w:val="15"/>
              </w:rPr>
              <w:t xml:space="preserve"> Other                                                                                                                               </w:t>
            </w:r>
          </w:p>
        </w:tc>
        <w:tc>
          <w:tcPr>
            <w:tcW w:w="1260" w:type="dxa"/>
            <w:vAlign w:val="center"/>
          </w:tcPr>
          <w:p>
            <w:pPr>
              <w:pStyle w:val="19"/>
              <w:jc w:val="right"/>
              <w:rPr>
                <w:kern w:val="0"/>
                <w:sz w:val="15"/>
                <w:szCs w:val="15"/>
              </w:rPr>
            </w:pPr>
            <w:r>
              <w:rPr>
                <w:kern w:val="0"/>
                <w:sz w:val="15"/>
                <w:szCs w:val="15"/>
              </w:rPr>
              <w:t>　</w:t>
            </w:r>
          </w:p>
        </w:tc>
        <w:tc>
          <w:tcPr>
            <w:tcW w:w="1256" w:type="dxa"/>
            <w:vAlign w:val="center"/>
          </w:tcPr>
          <w:p>
            <w:pPr>
              <w:pStyle w:val="19"/>
              <w:widowControl/>
              <w:spacing w:line="0" w:lineRule="atLeast"/>
              <w:jc w:val="right"/>
              <w:rPr>
                <w:sz w:val="15"/>
                <w:szCs w:val="15"/>
              </w:rPr>
            </w:pPr>
            <w:r>
              <w:rPr>
                <w:sz w:val="15"/>
                <w:szCs w:val="15"/>
              </w:rPr>
              <w:t>-13,611.01</w:t>
            </w:r>
          </w:p>
        </w:tc>
        <w:tc>
          <w:tcPr>
            <w:tcW w:w="1118" w:type="dxa"/>
            <w:vAlign w:val="center"/>
          </w:tcPr>
          <w:p>
            <w:pPr>
              <w:pStyle w:val="19"/>
              <w:jc w:val="right"/>
              <w:rPr>
                <w:kern w:val="0"/>
                <w:sz w:val="15"/>
                <w:szCs w:val="15"/>
              </w:rPr>
            </w:pPr>
            <w:r>
              <w:rPr>
                <w:kern w:val="0"/>
                <w:sz w:val="15"/>
                <w:szCs w:val="15"/>
              </w:rPr>
              <w:t>　</w:t>
            </w:r>
          </w:p>
        </w:tc>
        <w:tc>
          <w:tcPr>
            <w:tcW w:w="1327" w:type="dxa"/>
            <w:vAlign w:val="center"/>
          </w:tcPr>
          <w:p>
            <w:pPr>
              <w:pStyle w:val="19"/>
              <w:jc w:val="right"/>
              <w:rPr>
                <w:kern w:val="0"/>
                <w:sz w:val="15"/>
                <w:szCs w:val="15"/>
              </w:rPr>
            </w:pPr>
            <w:r>
              <w:rPr>
                <w:kern w:val="0"/>
                <w:sz w:val="15"/>
                <w:szCs w:val="15"/>
              </w:rPr>
              <w:t>　</w:t>
            </w:r>
          </w:p>
        </w:tc>
        <w:tc>
          <w:tcPr>
            <w:tcW w:w="1314" w:type="dxa"/>
            <w:vAlign w:val="center"/>
          </w:tcPr>
          <w:p>
            <w:pPr>
              <w:pStyle w:val="19"/>
              <w:widowControl/>
              <w:spacing w:line="0" w:lineRule="atLeast"/>
              <w:jc w:val="right"/>
              <w:rPr>
                <w:sz w:val="15"/>
                <w:szCs w:val="15"/>
              </w:rPr>
            </w:pPr>
            <w:r>
              <w:rPr>
                <w:sz w:val="15"/>
                <w:szCs w:val="15"/>
              </w:rPr>
              <w:t>-34,594.35</w:t>
            </w:r>
          </w:p>
        </w:tc>
        <w:tc>
          <w:tcPr>
            <w:tcW w:w="1088" w:type="dxa"/>
            <w:vAlign w:val="center"/>
          </w:tcPr>
          <w:p>
            <w:pPr>
              <w:pStyle w:val="19"/>
              <w:jc w:val="right"/>
              <w:rPr>
                <w:kern w:val="0"/>
                <w:sz w:val="15"/>
                <w:szCs w:val="15"/>
              </w:rPr>
            </w:pPr>
            <w:r>
              <w:rPr>
                <w:kern w:val="0"/>
                <w:sz w:val="15"/>
                <w:szCs w:val="15"/>
              </w:rPr>
              <w:t>　</w:t>
            </w:r>
          </w:p>
        </w:tc>
      </w:tr>
      <w:bookmarkEnd w:id="28"/>
    </w:tbl>
    <w:p>
      <w:pPr>
        <w:pStyle w:val="19"/>
        <w:spacing w:line="300" w:lineRule="exact"/>
        <w:rPr>
          <w:rFonts w:eastAsia="仿宋_GB2312"/>
          <w:spacing w:val="-10"/>
        </w:rPr>
        <w:sectPr>
          <w:footerReference r:id="rId6" w:type="default"/>
          <w:footerReference r:id="rId7" w:type="even"/>
          <w:footnotePr>
            <w:numRestart w:val="eachPage"/>
          </w:footnotePr>
          <w:pgSz w:w="11907" w:h="16840"/>
          <w:pgMar w:top="2098" w:right="1474" w:bottom="1985" w:left="1588" w:header="851" w:footer="992" w:gutter="0"/>
          <w:cols w:space="720" w:num="1"/>
          <w:docGrid w:type="linesAndChars" w:linePitch="312" w:charSpace="0"/>
        </w:sectPr>
      </w:pPr>
    </w:p>
    <w:p>
      <w:pPr>
        <w:pStyle w:val="19"/>
        <w:widowControl/>
        <w:snapToGrid w:val="0"/>
        <w:spacing w:line="400" w:lineRule="exact"/>
        <w:jc w:val="center"/>
        <w:rPr>
          <w:rFonts w:eastAsia="仿宋_GB2312"/>
          <w:b/>
          <w:kern w:val="0"/>
          <w:sz w:val="32"/>
          <w:szCs w:val="32"/>
        </w:rPr>
      </w:pPr>
      <w:r>
        <w:rPr>
          <w:rFonts w:eastAsia="仿宋_GB2312"/>
          <w:b/>
          <w:kern w:val="0"/>
          <w:sz w:val="32"/>
          <w:szCs w:val="32"/>
        </w:rPr>
        <w:t>项 目 进 度 表（二）</w:t>
      </w:r>
    </w:p>
    <w:p>
      <w:pPr>
        <w:pStyle w:val="19"/>
        <w:widowControl/>
        <w:spacing w:line="400" w:lineRule="exact"/>
        <w:jc w:val="center"/>
        <w:rPr>
          <w:b/>
          <w:bCs/>
          <w:kern w:val="0"/>
          <w:sz w:val="32"/>
          <w:szCs w:val="32"/>
        </w:rPr>
      </w:pPr>
      <w:r>
        <w:rPr>
          <w:b/>
          <w:bCs/>
          <w:kern w:val="0"/>
          <w:sz w:val="32"/>
          <w:szCs w:val="32"/>
        </w:rPr>
        <w:t xml:space="preserve">SUMMARY OF SOURCES AND USES OF FUNDS </w:t>
      </w:r>
    </w:p>
    <w:p>
      <w:pPr>
        <w:pStyle w:val="19"/>
        <w:widowControl/>
        <w:spacing w:line="400" w:lineRule="exact"/>
        <w:jc w:val="center"/>
        <w:rPr>
          <w:b/>
          <w:bCs/>
          <w:kern w:val="0"/>
          <w:sz w:val="32"/>
          <w:szCs w:val="32"/>
        </w:rPr>
      </w:pPr>
      <w:r>
        <w:rPr>
          <w:b/>
          <w:bCs/>
          <w:kern w:val="0"/>
          <w:sz w:val="32"/>
          <w:szCs w:val="32"/>
        </w:rPr>
        <w:t xml:space="preserve">BY PROJECT COMPONENT </w:t>
      </w:r>
      <w:r>
        <w:rPr>
          <w:rFonts w:hint="eastAsia" w:ascii="宋体" w:hAnsi="宋体" w:cs="宋体"/>
          <w:b/>
          <w:bCs/>
          <w:kern w:val="0"/>
          <w:sz w:val="32"/>
          <w:szCs w:val="32"/>
        </w:rPr>
        <w:t>Ⅱ</w:t>
      </w:r>
    </w:p>
    <w:p>
      <w:pPr>
        <w:pStyle w:val="19"/>
        <w:snapToGrid w:val="0"/>
        <w:spacing w:line="240" w:lineRule="atLeast"/>
        <w:jc w:val="center"/>
        <w:rPr>
          <w:rFonts w:eastAsia="仿宋_GB2312"/>
          <w:kern w:val="0"/>
          <w:szCs w:val="28"/>
        </w:rPr>
      </w:pPr>
      <w:r>
        <w:rPr>
          <w:rFonts w:eastAsia="仿宋_GB2312"/>
          <w:kern w:val="0"/>
          <w:szCs w:val="28"/>
        </w:rPr>
        <w:t>本期截至</w:t>
      </w:r>
      <w:r>
        <w:rPr>
          <w:rFonts w:hint="eastAsia" w:eastAsia="仿宋_GB2312"/>
          <w:kern w:val="0"/>
          <w:szCs w:val="28"/>
        </w:rPr>
        <w:t>2019</w:t>
      </w:r>
      <w:r>
        <w:rPr>
          <w:rFonts w:eastAsia="仿宋_GB2312"/>
          <w:kern w:val="0"/>
          <w:szCs w:val="28"/>
        </w:rPr>
        <w:t xml:space="preserve">年12月31日 </w:t>
      </w:r>
    </w:p>
    <w:p>
      <w:pPr>
        <w:pStyle w:val="19"/>
        <w:snapToGrid w:val="0"/>
        <w:spacing w:line="240" w:lineRule="atLeast"/>
        <w:jc w:val="center"/>
        <w:rPr>
          <w:rFonts w:eastAsia="仿宋_GB2312"/>
          <w:kern w:val="0"/>
          <w:szCs w:val="28"/>
        </w:rPr>
      </w:pPr>
      <w:r>
        <w:rPr>
          <w:rFonts w:eastAsia="仿宋_GB2312"/>
          <w:kern w:val="0"/>
          <w:szCs w:val="28"/>
        </w:rPr>
        <w:t xml:space="preserve">(For the period ended </w:t>
      </w:r>
      <w:r>
        <w:rPr>
          <w:rFonts w:hint="eastAsia" w:eastAsia="仿宋_GB2312"/>
          <w:kern w:val="0"/>
          <w:szCs w:val="28"/>
        </w:rPr>
        <w:t>December 31, 2019</w:t>
      </w:r>
      <w:r>
        <w:rPr>
          <w:rFonts w:eastAsia="仿宋_GB2312"/>
          <w:kern w:val="0"/>
          <w:szCs w:val="28"/>
        </w:rPr>
        <w:t>）</w:t>
      </w:r>
    </w:p>
    <w:p>
      <w:pPr>
        <w:pStyle w:val="19"/>
        <w:snapToGrid w:val="0"/>
        <w:spacing w:line="240" w:lineRule="atLeast"/>
        <w:jc w:val="center"/>
        <w:rPr>
          <w:rFonts w:eastAsia="仿宋_GB2312"/>
          <w:kern w:val="0"/>
          <w:szCs w:val="28"/>
        </w:rPr>
      </w:pPr>
    </w:p>
    <w:p>
      <w:pPr>
        <w:pStyle w:val="19"/>
        <w:snapToGrid w:val="0"/>
        <w:spacing w:line="120" w:lineRule="atLeast"/>
        <w:ind w:leftChars="-7" w:right="-1784" w:hanging="14" w:hangingChars="7"/>
        <w:rPr>
          <w:rFonts w:eastAsia="仿宋_GB2312"/>
        </w:rPr>
      </w:pPr>
      <w:r>
        <w:rPr>
          <w:rFonts w:eastAsia="仿宋_GB2312"/>
        </w:rPr>
        <w:t xml:space="preserve">项目名称：世界银行贷款川渝合作(广安)示范区基础设施建设项目                                                             </w:t>
      </w:r>
    </w:p>
    <w:p>
      <w:pPr>
        <w:pStyle w:val="19"/>
        <w:snapToGrid w:val="0"/>
        <w:spacing w:line="120" w:lineRule="atLeast"/>
        <w:ind w:leftChars="-7" w:right="-1784" w:hanging="14" w:hangingChars="7"/>
        <w:rPr>
          <w:rFonts w:eastAsia="仿宋_GB2312"/>
        </w:rPr>
      </w:pPr>
      <w:r>
        <w:rPr>
          <w:rFonts w:eastAsia="仿宋_GB2312"/>
        </w:rPr>
        <w:t xml:space="preserve">Project Name: </w:t>
      </w:r>
      <w:r>
        <w:rPr>
          <w:rFonts w:hint="eastAsia" w:eastAsia="仿宋_GB2312"/>
        </w:rPr>
        <w:t>Sichuan-Chongqing Cooperation (Guang'an) Demonstration Area Infrastructure Construction Project Financed by the World Bank</w:t>
      </w:r>
      <w:r>
        <w:rPr>
          <w:rFonts w:eastAsia="仿宋_GB2312"/>
        </w:rPr>
        <w:t xml:space="preserve">                    </w:t>
      </w:r>
      <w:r>
        <w:rPr>
          <w:rFonts w:hint="eastAsia" w:eastAsia="仿宋_GB2312"/>
        </w:rPr>
        <w:t xml:space="preserve"> </w:t>
      </w:r>
      <w:r>
        <w:rPr>
          <w:rFonts w:eastAsia="仿宋_GB2312"/>
        </w:rPr>
        <w:t xml:space="preserve">                               </w:t>
      </w:r>
    </w:p>
    <w:p>
      <w:pPr>
        <w:pStyle w:val="19"/>
        <w:snapToGrid w:val="0"/>
        <w:spacing w:line="120" w:lineRule="atLeast"/>
        <w:ind w:left="-420" w:leftChars="-200" w:right="-1784" w:firstLine="420" w:firstLineChars="200"/>
        <w:jc w:val="left"/>
        <w:rPr>
          <w:rFonts w:eastAsia="仿宋_GB2312"/>
        </w:rPr>
      </w:pPr>
      <w:r>
        <w:rPr>
          <w:rFonts w:eastAsia="仿宋_GB2312"/>
        </w:rPr>
        <w:t>编报单位：</w:t>
      </w:r>
      <w:r>
        <w:rPr>
          <w:rFonts w:hint="eastAsia" w:eastAsia="仿宋_GB2312"/>
        </w:rPr>
        <w:t>世行贷款广安项目领导小组办公室</w:t>
      </w:r>
      <w:r>
        <w:rPr>
          <w:rFonts w:eastAsia="仿宋_GB2312"/>
        </w:rPr>
        <w:t xml:space="preserve">         </w:t>
      </w:r>
      <w:r>
        <w:rPr>
          <w:rFonts w:hint="eastAsia" w:eastAsia="仿宋_GB2312"/>
        </w:rPr>
        <w:t xml:space="preserve">                                                          货币</w:t>
      </w:r>
      <w:r>
        <w:rPr>
          <w:rFonts w:eastAsia="仿宋_GB2312"/>
        </w:rPr>
        <w:t>单</w:t>
      </w:r>
      <w:r>
        <w:rPr>
          <w:rFonts w:eastAsia="仿宋_GB2312"/>
          <w:szCs w:val="21"/>
        </w:rPr>
        <w:t>位：</w:t>
      </w:r>
      <w:r>
        <w:rPr>
          <w:rFonts w:eastAsia="仿宋_GB2312"/>
          <w:kern w:val="0"/>
          <w:szCs w:val="21"/>
        </w:rPr>
        <w:t>人民币元</w:t>
      </w:r>
    </w:p>
    <w:p>
      <w:pPr>
        <w:pStyle w:val="19"/>
        <w:spacing w:line="240" w:lineRule="exact"/>
        <w:rPr>
          <w:rFonts w:eastAsia="仿宋_GB2312"/>
        </w:rPr>
      </w:pPr>
      <w:r>
        <w:t>Prepared by</w:t>
      </w:r>
      <w:r>
        <w:rPr>
          <w:rFonts w:eastAsia="仿宋_GB2312"/>
          <w:spacing w:val="-10"/>
        </w:rPr>
        <w:t xml:space="preserve">: </w:t>
      </w:r>
      <w:r>
        <w:rPr>
          <w:rFonts w:hint="eastAsia" w:eastAsia="仿宋_GB2312"/>
        </w:rPr>
        <w:t>Guang</w:t>
      </w:r>
      <w:r>
        <w:rPr>
          <w:rFonts w:eastAsia="仿宋_GB2312"/>
        </w:rPr>
        <w:t>’</w:t>
      </w:r>
      <w:r>
        <w:rPr>
          <w:rFonts w:hint="eastAsia" w:eastAsia="仿宋_GB2312"/>
        </w:rPr>
        <w:t>an Project Management Office</w:t>
      </w:r>
      <w:r>
        <w:rPr>
          <w:rFonts w:eastAsia="仿宋_GB2312"/>
          <w:spacing w:val="-10"/>
        </w:rPr>
        <w:t xml:space="preserve">      </w:t>
      </w:r>
      <w:r>
        <w:rPr>
          <w:rFonts w:hint="eastAsia" w:eastAsia="仿宋_GB2312"/>
          <w:spacing w:val="-10"/>
        </w:rPr>
        <w:t xml:space="preserve"> </w:t>
      </w:r>
      <w:r>
        <w:rPr>
          <w:rFonts w:eastAsia="仿宋_GB2312"/>
          <w:spacing w:val="-10"/>
        </w:rPr>
        <w:t xml:space="preserve">                                                                          Currency Unit: </w:t>
      </w:r>
      <w:r>
        <w:rPr>
          <w:kern w:val="0"/>
          <w:sz w:val="18"/>
          <w:szCs w:val="18"/>
        </w:rPr>
        <w:t>RMB Yuan</w:t>
      </w:r>
    </w:p>
    <w:tbl>
      <w:tblPr>
        <w:tblStyle w:val="6"/>
        <w:tblW w:w="13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1588"/>
        <w:gridCol w:w="964"/>
        <w:gridCol w:w="1134"/>
        <w:gridCol w:w="1276"/>
        <w:gridCol w:w="1134"/>
        <w:gridCol w:w="1701"/>
        <w:gridCol w:w="121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blHeader/>
          <w:jc w:val="center"/>
        </w:trPr>
        <w:tc>
          <w:tcPr>
            <w:tcW w:w="3462" w:type="dxa"/>
            <w:vAlign w:val="center"/>
          </w:tcPr>
          <w:p>
            <w:pPr>
              <w:pStyle w:val="19"/>
              <w:widowControl/>
              <w:spacing w:line="200" w:lineRule="exact"/>
              <w:jc w:val="center"/>
              <w:rPr>
                <w:kern w:val="0"/>
                <w:sz w:val="15"/>
                <w:szCs w:val="15"/>
              </w:rPr>
            </w:pPr>
            <w:r>
              <w:rPr>
                <w:kern w:val="0"/>
                <w:sz w:val="15"/>
                <w:szCs w:val="15"/>
              </w:rPr>
              <w:t xml:space="preserve">项目内容                           </w:t>
            </w:r>
          </w:p>
          <w:p>
            <w:pPr>
              <w:pStyle w:val="19"/>
              <w:widowControl/>
              <w:spacing w:line="200" w:lineRule="exact"/>
              <w:jc w:val="center"/>
              <w:rPr>
                <w:kern w:val="0"/>
                <w:sz w:val="15"/>
                <w:szCs w:val="15"/>
              </w:rPr>
            </w:pPr>
            <w:r>
              <w:rPr>
                <w:kern w:val="0"/>
                <w:sz w:val="15"/>
                <w:szCs w:val="15"/>
              </w:rPr>
              <w:t>Project Component</w:t>
            </w:r>
          </w:p>
        </w:tc>
        <w:tc>
          <w:tcPr>
            <w:tcW w:w="10435" w:type="dxa"/>
            <w:gridSpan w:val="8"/>
            <w:vAlign w:val="center"/>
          </w:tcPr>
          <w:p>
            <w:pPr>
              <w:pStyle w:val="19"/>
              <w:widowControl/>
              <w:spacing w:line="200" w:lineRule="exact"/>
              <w:jc w:val="center"/>
              <w:rPr>
                <w:kern w:val="0"/>
                <w:sz w:val="15"/>
                <w:szCs w:val="15"/>
              </w:rPr>
            </w:pPr>
            <w:r>
              <w:rPr>
                <w:kern w:val="0"/>
                <w:sz w:val="15"/>
                <w:szCs w:val="15"/>
              </w:rPr>
              <w:t xml:space="preserve">项目支出 </w:t>
            </w:r>
          </w:p>
          <w:p>
            <w:pPr>
              <w:pStyle w:val="19"/>
              <w:widowControl/>
              <w:spacing w:line="200" w:lineRule="exact"/>
              <w:jc w:val="center"/>
              <w:rPr>
                <w:kern w:val="0"/>
                <w:sz w:val="15"/>
                <w:szCs w:val="15"/>
              </w:rPr>
            </w:pPr>
            <w:r>
              <w:rPr>
                <w:kern w:val="0"/>
                <w:sz w:val="15"/>
                <w:szCs w:val="15"/>
              </w:rPr>
              <w:t>Project Expenditure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19"/>
              <w:widowControl/>
              <w:rPr>
                <w:kern w:val="0"/>
                <w:sz w:val="15"/>
                <w:szCs w:val="15"/>
              </w:rPr>
            </w:pPr>
          </w:p>
        </w:tc>
        <w:tc>
          <w:tcPr>
            <w:tcW w:w="1588" w:type="dxa"/>
            <w:vAlign w:val="center"/>
          </w:tcPr>
          <w:p>
            <w:pPr>
              <w:pStyle w:val="19"/>
              <w:spacing w:line="200" w:lineRule="exact"/>
              <w:jc w:val="center"/>
              <w:rPr>
                <w:kern w:val="0"/>
                <w:sz w:val="15"/>
                <w:szCs w:val="15"/>
              </w:rPr>
            </w:pPr>
            <w:r>
              <w:rPr>
                <w:kern w:val="0"/>
                <w:sz w:val="15"/>
                <w:szCs w:val="15"/>
              </w:rPr>
              <w:t>累计支出</w:t>
            </w:r>
          </w:p>
          <w:p>
            <w:pPr>
              <w:pStyle w:val="19"/>
              <w:spacing w:line="200" w:lineRule="exact"/>
              <w:jc w:val="center"/>
              <w:rPr>
                <w:kern w:val="0"/>
                <w:sz w:val="15"/>
                <w:szCs w:val="15"/>
              </w:rPr>
            </w:pPr>
            <w:r>
              <w:rPr>
                <w:kern w:val="0"/>
                <w:sz w:val="15"/>
                <w:szCs w:val="15"/>
              </w:rPr>
              <w:t>Cumulative Amount</w:t>
            </w:r>
          </w:p>
        </w:tc>
        <w:tc>
          <w:tcPr>
            <w:tcW w:w="4508" w:type="dxa"/>
            <w:gridSpan w:val="4"/>
            <w:vAlign w:val="center"/>
          </w:tcPr>
          <w:p>
            <w:pPr>
              <w:pStyle w:val="19"/>
              <w:widowControl/>
              <w:spacing w:line="200" w:lineRule="exact"/>
              <w:jc w:val="center"/>
              <w:rPr>
                <w:kern w:val="0"/>
                <w:sz w:val="15"/>
                <w:szCs w:val="15"/>
              </w:rPr>
            </w:pPr>
            <w:r>
              <w:rPr>
                <w:kern w:val="0"/>
                <w:sz w:val="15"/>
                <w:szCs w:val="15"/>
              </w:rPr>
              <w:t>已交付资产</w:t>
            </w:r>
          </w:p>
          <w:p>
            <w:pPr>
              <w:pStyle w:val="19"/>
              <w:spacing w:line="200" w:lineRule="exact"/>
              <w:jc w:val="center"/>
              <w:rPr>
                <w:kern w:val="0"/>
                <w:sz w:val="15"/>
                <w:szCs w:val="15"/>
              </w:rPr>
            </w:pPr>
            <w:r>
              <w:rPr>
                <w:kern w:val="0"/>
                <w:sz w:val="15"/>
                <w:szCs w:val="15"/>
              </w:rPr>
              <w:t>Assets Transferred</w:t>
            </w:r>
          </w:p>
        </w:tc>
        <w:tc>
          <w:tcPr>
            <w:tcW w:w="1701" w:type="dxa"/>
            <w:vMerge w:val="restart"/>
            <w:vAlign w:val="center"/>
          </w:tcPr>
          <w:p>
            <w:pPr>
              <w:pStyle w:val="19"/>
              <w:widowControl/>
              <w:spacing w:line="200" w:lineRule="exact"/>
              <w:jc w:val="center"/>
              <w:rPr>
                <w:kern w:val="0"/>
                <w:sz w:val="15"/>
                <w:szCs w:val="15"/>
              </w:rPr>
            </w:pPr>
            <w:r>
              <w:rPr>
                <w:kern w:val="0"/>
                <w:sz w:val="15"/>
                <w:szCs w:val="15"/>
              </w:rPr>
              <w:t>在建工程             Work in Progress</w:t>
            </w:r>
          </w:p>
        </w:tc>
        <w:tc>
          <w:tcPr>
            <w:tcW w:w="1219" w:type="dxa"/>
            <w:vMerge w:val="restart"/>
            <w:vAlign w:val="center"/>
          </w:tcPr>
          <w:p>
            <w:pPr>
              <w:pStyle w:val="19"/>
              <w:widowControl/>
              <w:spacing w:line="200" w:lineRule="exact"/>
              <w:jc w:val="center"/>
              <w:rPr>
                <w:kern w:val="0"/>
                <w:sz w:val="15"/>
                <w:szCs w:val="15"/>
              </w:rPr>
            </w:pPr>
            <w:r>
              <w:rPr>
                <w:kern w:val="0"/>
                <w:sz w:val="15"/>
                <w:szCs w:val="15"/>
              </w:rPr>
              <w:t>待核销项目支出Construction Expenditures to be Disposed</w:t>
            </w:r>
          </w:p>
        </w:tc>
        <w:tc>
          <w:tcPr>
            <w:tcW w:w="1419" w:type="dxa"/>
            <w:vMerge w:val="restart"/>
            <w:vAlign w:val="center"/>
          </w:tcPr>
          <w:p>
            <w:pPr>
              <w:pStyle w:val="19"/>
              <w:widowControl/>
              <w:spacing w:line="200" w:lineRule="exact"/>
              <w:jc w:val="center"/>
              <w:rPr>
                <w:kern w:val="0"/>
                <w:sz w:val="15"/>
                <w:szCs w:val="15"/>
              </w:rPr>
            </w:pPr>
            <w:r>
              <w:rPr>
                <w:kern w:val="0"/>
                <w:sz w:val="15"/>
                <w:szCs w:val="15"/>
              </w:rPr>
              <w:t>转出投资Investments Transferred-out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3462" w:type="dxa"/>
            <w:vAlign w:val="center"/>
          </w:tcPr>
          <w:p>
            <w:pPr>
              <w:pStyle w:val="19"/>
              <w:widowControl/>
              <w:rPr>
                <w:kern w:val="0"/>
                <w:sz w:val="15"/>
                <w:szCs w:val="15"/>
              </w:rPr>
            </w:pPr>
          </w:p>
        </w:tc>
        <w:tc>
          <w:tcPr>
            <w:tcW w:w="1588" w:type="dxa"/>
            <w:vAlign w:val="center"/>
          </w:tcPr>
          <w:p>
            <w:pPr>
              <w:pStyle w:val="19"/>
              <w:widowControl/>
              <w:spacing w:line="200" w:lineRule="exact"/>
              <w:jc w:val="center"/>
              <w:rPr>
                <w:kern w:val="0"/>
                <w:sz w:val="15"/>
                <w:szCs w:val="15"/>
              </w:rPr>
            </w:pPr>
          </w:p>
        </w:tc>
        <w:tc>
          <w:tcPr>
            <w:tcW w:w="964" w:type="dxa"/>
            <w:vAlign w:val="center"/>
          </w:tcPr>
          <w:p>
            <w:pPr>
              <w:pStyle w:val="19"/>
              <w:widowControl/>
              <w:spacing w:line="200" w:lineRule="exact"/>
              <w:jc w:val="center"/>
              <w:rPr>
                <w:kern w:val="0"/>
                <w:sz w:val="15"/>
                <w:szCs w:val="15"/>
              </w:rPr>
            </w:pPr>
            <w:r>
              <w:rPr>
                <w:kern w:val="0"/>
                <w:sz w:val="15"/>
                <w:szCs w:val="15"/>
              </w:rPr>
              <w:t>固定资产                 Fixed Asset</w:t>
            </w:r>
          </w:p>
        </w:tc>
        <w:tc>
          <w:tcPr>
            <w:tcW w:w="1134" w:type="dxa"/>
            <w:vAlign w:val="center"/>
          </w:tcPr>
          <w:p>
            <w:pPr>
              <w:pStyle w:val="19"/>
              <w:widowControl/>
              <w:spacing w:line="200" w:lineRule="exact"/>
              <w:jc w:val="center"/>
              <w:rPr>
                <w:kern w:val="0"/>
                <w:sz w:val="15"/>
                <w:szCs w:val="15"/>
              </w:rPr>
            </w:pPr>
            <w:r>
              <w:rPr>
                <w:kern w:val="0"/>
                <w:sz w:val="15"/>
                <w:szCs w:val="15"/>
              </w:rPr>
              <w:t>流动资产</w:t>
            </w:r>
          </w:p>
          <w:p>
            <w:pPr>
              <w:pStyle w:val="19"/>
              <w:widowControl/>
              <w:spacing w:line="200" w:lineRule="exact"/>
              <w:jc w:val="center"/>
              <w:rPr>
                <w:kern w:val="0"/>
                <w:sz w:val="15"/>
                <w:szCs w:val="15"/>
              </w:rPr>
            </w:pPr>
            <w:r>
              <w:rPr>
                <w:kern w:val="0"/>
                <w:sz w:val="15"/>
                <w:szCs w:val="15"/>
              </w:rPr>
              <w:t xml:space="preserve">Current Asset </w:t>
            </w:r>
          </w:p>
        </w:tc>
        <w:tc>
          <w:tcPr>
            <w:tcW w:w="1276" w:type="dxa"/>
            <w:vAlign w:val="center"/>
          </w:tcPr>
          <w:p>
            <w:pPr>
              <w:pStyle w:val="19"/>
              <w:widowControl/>
              <w:spacing w:line="200" w:lineRule="exact"/>
              <w:jc w:val="center"/>
              <w:rPr>
                <w:kern w:val="0"/>
                <w:sz w:val="15"/>
                <w:szCs w:val="15"/>
              </w:rPr>
            </w:pPr>
            <w:r>
              <w:rPr>
                <w:kern w:val="0"/>
                <w:sz w:val="15"/>
                <w:szCs w:val="15"/>
              </w:rPr>
              <w:t>无形资产</w:t>
            </w:r>
          </w:p>
          <w:p>
            <w:pPr>
              <w:pStyle w:val="19"/>
              <w:widowControl/>
              <w:spacing w:line="200" w:lineRule="exact"/>
              <w:jc w:val="center"/>
              <w:rPr>
                <w:kern w:val="0"/>
                <w:sz w:val="15"/>
                <w:szCs w:val="15"/>
              </w:rPr>
            </w:pPr>
            <w:r>
              <w:rPr>
                <w:kern w:val="0"/>
                <w:sz w:val="15"/>
                <w:szCs w:val="15"/>
              </w:rPr>
              <w:t xml:space="preserve">Intangible Asset </w:t>
            </w:r>
          </w:p>
        </w:tc>
        <w:tc>
          <w:tcPr>
            <w:tcW w:w="1134" w:type="dxa"/>
            <w:vAlign w:val="center"/>
          </w:tcPr>
          <w:p>
            <w:pPr>
              <w:pStyle w:val="19"/>
              <w:widowControl/>
              <w:spacing w:line="200" w:lineRule="exact"/>
              <w:jc w:val="center"/>
              <w:rPr>
                <w:kern w:val="0"/>
                <w:sz w:val="15"/>
                <w:szCs w:val="15"/>
              </w:rPr>
            </w:pPr>
            <w:r>
              <w:rPr>
                <w:kern w:val="0"/>
                <w:sz w:val="15"/>
                <w:szCs w:val="15"/>
              </w:rPr>
              <w:t>递延资产  Deferred Asset</w:t>
            </w:r>
          </w:p>
        </w:tc>
        <w:tc>
          <w:tcPr>
            <w:tcW w:w="1701" w:type="dxa"/>
            <w:vMerge w:val="continue"/>
            <w:vAlign w:val="center"/>
          </w:tcPr>
          <w:p>
            <w:pPr>
              <w:pStyle w:val="19"/>
              <w:widowControl/>
              <w:spacing w:line="200" w:lineRule="exact"/>
              <w:jc w:val="right"/>
              <w:rPr>
                <w:kern w:val="0"/>
                <w:sz w:val="15"/>
                <w:szCs w:val="15"/>
              </w:rPr>
            </w:pPr>
          </w:p>
        </w:tc>
        <w:tc>
          <w:tcPr>
            <w:tcW w:w="1219" w:type="dxa"/>
            <w:vMerge w:val="continue"/>
            <w:vAlign w:val="center"/>
          </w:tcPr>
          <w:p>
            <w:pPr>
              <w:pStyle w:val="19"/>
              <w:widowControl/>
              <w:spacing w:line="200" w:lineRule="exact"/>
              <w:jc w:val="right"/>
              <w:rPr>
                <w:kern w:val="0"/>
                <w:sz w:val="15"/>
                <w:szCs w:val="15"/>
              </w:rPr>
            </w:pPr>
          </w:p>
        </w:tc>
        <w:tc>
          <w:tcPr>
            <w:tcW w:w="1419" w:type="dxa"/>
            <w:vMerge w:val="continue"/>
            <w:vAlign w:val="center"/>
          </w:tcPr>
          <w:p>
            <w:pPr>
              <w:pStyle w:val="19"/>
              <w:widowControl/>
              <w:spacing w:line="200" w:lineRule="exact"/>
              <w:jc w:val="right"/>
              <w:rPr>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3462" w:type="dxa"/>
            <w:vAlign w:val="bottom"/>
          </w:tcPr>
          <w:p>
            <w:pPr>
              <w:pStyle w:val="19"/>
              <w:widowControl/>
              <w:snapToGrid w:val="0"/>
              <w:jc w:val="left"/>
              <w:rPr>
                <w:rFonts w:ascii="宋体" w:hAnsi="宋体"/>
                <w:kern w:val="0"/>
                <w:sz w:val="15"/>
                <w:szCs w:val="15"/>
              </w:rPr>
            </w:pPr>
            <w:r>
              <w:rPr>
                <w:rFonts w:hint="eastAsia" w:ascii="宋体" w:hAnsi="宋体"/>
                <w:kern w:val="0"/>
                <w:sz w:val="15"/>
                <w:szCs w:val="15"/>
              </w:rPr>
              <w:t xml:space="preserve">1、技术援助 </w:t>
            </w:r>
            <w:r>
              <w:rPr>
                <w:rFonts w:ascii="宋体" w:hAnsi="宋体"/>
                <w:kern w:val="0"/>
                <w:sz w:val="15"/>
                <w:szCs w:val="15"/>
              </w:rPr>
              <w:t xml:space="preserve"> </w:t>
            </w:r>
          </w:p>
          <w:p>
            <w:pPr>
              <w:pStyle w:val="19"/>
              <w:widowControl/>
              <w:snapToGrid w:val="0"/>
              <w:jc w:val="left"/>
              <w:rPr>
                <w:rFonts w:ascii="宋体" w:hAnsi="宋体"/>
                <w:kern w:val="0"/>
                <w:sz w:val="15"/>
                <w:szCs w:val="15"/>
              </w:rPr>
            </w:pPr>
            <w:r>
              <w:rPr>
                <w:kern w:val="0"/>
                <w:sz w:val="15"/>
                <w:szCs w:val="15"/>
              </w:rPr>
              <w:t>Technical Assistance</w:t>
            </w:r>
          </w:p>
        </w:tc>
        <w:tc>
          <w:tcPr>
            <w:tcW w:w="1588" w:type="dxa"/>
            <w:vAlign w:val="center"/>
          </w:tcPr>
          <w:p>
            <w:pPr>
              <w:pStyle w:val="19"/>
              <w:widowControl w:val="0"/>
              <w:snapToGrid/>
              <w:jc w:val="right"/>
              <w:rPr>
                <w:kern w:val="2"/>
                <w:sz w:val="15"/>
                <w:szCs w:val="15"/>
              </w:rPr>
            </w:pPr>
            <w:r>
              <w:rPr>
                <w:kern w:val="2"/>
                <w:sz w:val="15"/>
                <w:szCs w:val="15"/>
              </w:rPr>
              <w:t xml:space="preserve">242,000.00                             </w:t>
            </w:r>
          </w:p>
        </w:tc>
        <w:tc>
          <w:tcPr>
            <w:tcW w:w="964" w:type="dxa"/>
            <w:vAlign w:val="center"/>
          </w:tcPr>
          <w:p>
            <w:pPr>
              <w:pStyle w:val="19"/>
              <w:widowControl w:val="0"/>
              <w:snapToGrid/>
              <w:jc w:val="right"/>
              <w:rPr>
                <w:kern w:val="2"/>
                <w:sz w:val="15"/>
                <w:szCs w:val="15"/>
              </w:rPr>
            </w:pPr>
            <w:r>
              <w:rPr>
                <w:kern w:val="2"/>
                <w:sz w:val="15"/>
                <w:szCs w:val="15"/>
              </w:rPr>
              <w:t>-</w:t>
            </w:r>
          </w:p>
        </w:tc>
        <w:tc>
          <w:tcPr>
            <w:tcW w:w="1134" w:type="dxa"/>
            <w:vAlign w:val="center"/>
          </w:tcPr>
          <w:p>
            <w:pPr>
              <w:pStyle w:val="19"/>
              <w:widowControl w:val="0"/>
              <w:snapToGrid/>
              <w:jc w:val="right"/>
              <w:rPr>
                <w:kern w:val="2"/>
                <w:sz w:val="15"/>
                <w:szCs w:val="15"/>
              </w:rPr>
            </w:pPr>
            <w:r>
              <w:rPr>
                <w:kern w:val="2"/>
                <w:sz w:val="15"/>
                <w:szCs w:val="15"/>
              </w:rPr>
              <w:t>-</w:t>
            </w:r>
          </w:p>
        </w:tc>
        <w:tc>
          <w:tcPr>
            <w:tcW w:w="1276" w:type="dxa"/>
            <w:vAlign w:val="center"/>
          </w:tcPr>
          <w:p>
            <w:pPr>
              <w:pStyle w:val="19"/>
              <w:widowControl w:val="0"/>
              <w:snapToGrid/>
              <w:jc w:val="right"/>
              <w:rPr>
                <w:kern w:val="2"/>
                <w:sz w:val="15"/>
                <w:szCs w:val="15"/>
              </w:rPr>
            </w:pPr>
            <w:r>
              <w:rPr>
                <w:kern w:val="2"/>
                <w:sz w:val="15"/>
                <w:szCs w:val="15"/>
              </w:rPr>
              <w:t>-</w:t>
            </w:r>
          </w:p>
        </w:tc>
        <w:tc>
          <w:tcPr>
            <w:tcW w:w="1134" w:type="dxa"/>
            <w:vAlign w:val="center"/>
          </w:tcPr>
          <w:p>
            <w:pPr>
              <w:pStyle w:val="19"/>
              <w:widowControl w:val="0"/>
              <w:snapToGrid/>
              <w:jc w:val="right"/>
              <w:rPr>
                <w:kern w:val="2"/>
                <w:sz w:val="15"/>
                <w:szCs w:val="15"/>
              </w:rPr>
            </w:pPr>
            <w:r>
              <w:rPr>
                <w:kern w:val="2"/>
                <w:sz w:val="15"/>
                <w:szCs w:val="15"/>
              </w:rPr>
              <w:t>-</w:t>
            </w:r>
          </w:p>
        </w:tc>
        <w:tc>
          <w:tcPr>
            <w:tcW w:w="1701" w:type="dxa"/>
            <w:vAlign w:val="center"/>
          </w:tcPr>
          <w:p>
            <w:pPr>
              <w:pStyle w:val="19"/>
              <w:widowControl w:val="0"/>
              <w:snapToGrid/>
              <w:jc w:val="right"/>
              <w:rPr>
                <w:kern w:val="2"/>
                <w:sz w:val="15"/>
                <w:szCs w:val="15"/>
              </w:rPr>
            </w:pPr>
            <w:r>
              <w:rPr>
                <w:kern w:val="2"/>
                <w:sz w:val="15"/>
                <w:szCs w:val="15"/>
              </w:rPr>
              <w:t xml:space="preserve">242,000.00                            </w:t>
            </w:r>
          </w:p>
        </w:tc>
        <w:tc>
          <w:tcPr>
            <w:tcW w:w="1219" w:type="dxa"/>
            <w:vAlign w:val="center"/>
          </w:tcPr>
          <w:p>
            <w:pPr>
              <w:pStyle w:val="19"/>
              <w:jc w:val="right"/>
              <w:rPr>
                <w:sz w:val="24"/>
                <w:szCs w:val="24"/>
              </w:rPr>
            </w:pPr>
            <w:r>
              <w:rPr>
                <w:kern w:val="2"/>
                <w:sz w:val="15"/>
                <w:szCs w:val="15"/>
              </w:rPr>
              <w:t>-</w:t>
            </w:r>
          </w:p>
        </w:tc>
        <w:tc>
          <w:tcPr>
            <w:tcW w:w="1419" w:type="dxa"/>
            <w:vAlign w:val="center"/>
          </w:tcPr>
          <w:p>
            <w:pPr>
              <w:pStyle w:val="19"/>
              <w:jc w:val="right"/>
              <w:rPr>
                <w:sz w:val="24"/>
                <w:szCs w:val="24"/>
              </w:rPr>
            </w:pPr>
            <w:r>
              <w:rPr>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bottom"/>
          </w:tcPr>
          <w:p>
            <w:pPr>
              <w:pStyle w:val="19"/>
              <w:widowControl/>
              <w:snapToGrid w:val="0"/>
              <w:jc w:val="left"/>
              <w:rPr>
                <w:rFonts w:ascii="宋体" w:hAnsi="宋体"/>
                <w:kern w:val="0"/>
                <w:sz w:val="15"/>
                <w:szCs w:val="15"/>
              </w:rPr>
            </w:pPr>
            <w:r>
              <w:rPr>
                <w:rFonts w:hint="eastAsia" w:ascii="宋体" w:hAnsi="宋体"/>
                <w:kern w:val="0"/>
                <w:sz w:val="15"/>
                <w:szCs w:val="15"/>
              </w:rPr>
              <w:t xml:space="preserve">2、邻水县基础设施建设 </w:t>
            </w:r>
          </w:p>
          <w:p>
            <w:pPr>
              <w:pStyle w:val="19"/>
              <w:widowControl/>
              <w:snapToGrid w:val="0"/>
              <w:jc w:val="left"/>
              <w:rPr>
                <w:rFonts w:ascii="宋体" w:hAnsi="宋体"/>
                <w:kern w:val="0"/>
                <w:sz w:val="15"/>
                <w:szCs w:val="15"/>
              </w:rPr>
            </w:pPr>
            <w:r>
              <w:rPr>
                <w:kern w:val="0"/>
                <w:sz w:val="15"/>
                <w:szCs w:val="15"/>
              </w:rPr>
              <w:t>Urban Infrastructure Investment for Linshui County</w:t>
            </w:r>
          </w:p>
        </w:tc>
        <w:tc>
          <w:tcPr>
            <w:tcW w:w="1588" w:type="dxa"/>
            <w:vAlign w:val="center"/>
          </w:tcPr>
          <w:p>
            <w:pPr>
              <w:pStyle w:val="19"/>
              <w:jc w:val="right"/>
              <w:rPr>
                <w:kern w:val="2"/>
                <w:sz w:val="15"/>
                <w:szCs w:val="15"/>
              </w:rPr>
            </w:pPr>
            <w:r>
              <w:rPr>
                <w:sz w:val="15"/>
                <w:szCs w:val="15"/>
              </w:rPr>
              <w:t>258,813,165.47</w:t>
            </w:r>
          </w:p>
        </w:tc>
        <w:tc>
          <w:tcPr>
            <w:tcW w:w="964"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276"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701" w:type="dxa"/>
            <w:vAlign w:val="center"/>
          </w:tcPr>
          <w:p>
            <w:pPr>
              <w:pStyle w:val="19"/>
              <w:jc w:val="right"/>
              <w:rPr>
                <w:kern w:val="2"/>
                <w:sz w:val="15"/>
                <w:szCs w:val="15"/>
              </w:rPr>
            </w:pPr>
            <w:r>
              <w:rPr>
                <w:sz w:val="15"/>
                <w:szCs w:val="15"/>
              </w:rPr>
              <w:t>258,813,165.47</w:t>
            </w:r>
          </w:p>
        </w:tc>
        <w:tc>
          <w:tcPr>
            <w:tcW w:w="1219" w:type="dxa"/>
            <w:vAlign w:val="center"/>
          </w:tcPr>
          <w:p>
            <w:pPr>
              <w:pStyle w:val="19"/>
              <w:jc w:val="right"/>
              <w:rPr>
                <w:sz w:val="24"/>
                <w:szCs w:val="24"/>
              </w:rPr>
            </w:pPr>
            <w:r>
              <w:rPr>
                <w:kern w:val="2"/>
                <w:sz w:val="15"/>
                <w:szCs w:val="15"/>
              </w:rPr>
              <w:t>-</w:t>
            </w:r>
          </w:p>
        </w:tc>
        <w:tc>
          <w:tcPr>
            <w:tcW w:w="1419" w:type="dxa"/>
            <w:vAlign w:val="center"/>
          </w:tcPr>
          <w:p>
            <w:pPr>
              <w:pStyle w:val="19"/>
              <w:jc w:val="right"/>
              <w:rPr>
                <w:sz w:val="24"/>
                <w:szCs w:val="24"/>
              </w:rPr>
            </w:pPr>
            <w:r>
              <w:rPr>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bottom"/>
          </w:tcPr>
          <w:p>
            <w:pPr>
              <w:pStyle w:val="19"/>
              <w:widowControl/>
              <w:snapToGrid w:val="0"/>
              <w:jc w:val="left"/>
              <w:rPr>
                <w:rFonts w:ascii="宋体" w:hAnsi="宋体"/>
                <w:kern w:val="0"/>
                <w:sz w:val="15"/>
                <w:szCs w:val="15"/>
              </w:rPr>
            </w:pPr>
            <w:r>
              <w:rPr>
                <w:rFonts w:hint="eastAsia" w:ascii="宋体" w:hAnsi="宋体"/>
                <w:kern w:val="0"/>
                <w:sz w:val="15"/>
                <w:szCs w:val="15"/>
              </w:rPr>
              <w:t xml:space="preserve">3、前锋区基础设施建设 </w:t>
            </w:r>
          </w:p>
          <w:p>
            <w:pPr>
              <w:pStyle w:val="19"/>
              <w:widowControl/>
              <w:snapToGrid w:val="0"/>
              <w:jc w:val="left"/>
              <w:rPr>
                <w:kern w:val="0"/>
                <w:sz w:val="15"/>
                <w:szCs w:val="15"/>
              </w:rPr>
            </w:pPr>
            <w:r>
              <w:rPr>
                <w:kern w:val="0"/>
                <w:sz w:val="15"/>
                <w:szCs w:val="15"/>
              </w:rPr>
              <w:t>Urban Infrastructure Investment for Qianfeng District</w:t>
            </w:r>
          </w:p>
        </w:tc>
        <w:tc>
          <w:tcPr>
            <w:tcW w:w="1588" w:type="dxa"/>
            <w:vAlign w:val="center"/>
          </w:tcPr>
          <w:p>
            <w:pPr>
              <w:pStyle w:val="19"/>
              <w:jc w:val="right"/>
              <w:rPr>
                <w:kern w:val="2"/>
                <w:sz w:val="15"/>
                <w:szCs w:val="15"/>
              </w:rPr>
            </w:pPr>
            <w:r>
              <w:rPr>
                <w:sz w:val="15"/>
                <w:szCs w:val="15"/>
              </w:rPr>
              <w:t>136,281,302.30</w:t>
            </w:r>
          </w:p>
        </w:tc>
        <w:tc>
          <w:tcPr>
            <w:tcW w:w="964"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276"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701" w:type="dxa"/>
            <w:vAlign w:val="center"/>
          </w:tcPr>
          <w:p>
            <w:pPr>
              <w:pStyle w:val="19"/>
              <w:jc w:val="right"/>
              <w:rPr>
                <w:kern w:val="2"/>
                <w:sz w:val="15"/>
                <w:szCs w:val="15"/>
              </w:rPr>
            </w:pPr>
            <w:r>
              <w:rPr>
                <w:sz w:val="15"/>
                <w:szCs w:val="15"/>
              </w:rPr>
              <w:t>136,281,302.30</w:t>
            </w:r>
          </w:p>
        </w:tc>
        <w:tc>
          <w:tcPr>
            <w:tcW w:w="1219" w:type="dxa"/>
            <w:vAlign w:val="center"/>
          </w:tcPr>
          <w:p>
            <w:pPr>
              <w:pStyle w:val="19"/>
              <w:jc w:val="right"/>
              <w:rPr>
                <w:sz w:val="24"/>
                <w:szCs w:val="24"/>
              </w:rPr>
            </w:pPr>
            <w:r>
              <w:rPr>
                <w:kern w:val="2"/>
                <w:sz w:val="15"/>
                <w:szCs w:val="15"/>
              </w:rPr>
              <w:t>-</w:t>
            </w:r>
          </w:p>
        </w:tc>
        <w:tc>
          <w:tcPr>
            <w:tcW w:w="1419" w:type="dxa"/>
            <w:vAlign w:val="center"/>
          </w:tcPr>
          <w:p>
            <w:pPr>
              <w:pStyle w:val="19"/>
              <w:jc w:val="right"/>
              <w:rPr>
                <w:sz w:val="24"/>
                <w:szCs w:val="24"/>
              </w:rPr>
            </w:pPr>
            <w:r>
              <w:rPr>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bottom"/>
          </w:tcPr>
          <w:p>
            <w:pPr>
              <w:pStyle w:val="19"/>
              <w:widowControl/>
              <w:snapToGrid w:val="0"/>
              <w:jc w:val="left"/>
              <w:rPr>
                <w:rFonts w:ascii="宋体" w:hAnsi="宋体"/>
                <w:kern w:val="0"/>
                <w:sz w:val="15"/>
                <w:szCs w:val="15"/>
              </w:rPr>
            </w:pPr>
            <w:r>
              <w:rPr>
                <w:rFonts w:hint="eastAsia" w:ascii="宋体" w:hAnsi="宋体"/>
                <w:kern w:val="0"/>
                <w:sz w:val="15"/>
                <w:szCs w:val="15"/>
              </w:rPr>
              <w:t>4、项目管理和能力建设</w:t>
            </w:r>
          </w:p>
          <w:p>
            <w:pPr>
              <w:pStyle w:val="19"/>
              <w:widowControl/>
              <w:snapToGrid w:val="0"/>
              <w:jc w:val="left"/>
              <w:rPr>
                <w:kern w:val="0"/>
                <w:sz w:val="15"/>
                <w:szCs w:val="15"/>
              </w:rPr>
            </w:pPr>
            <w:r>
              <w:rPr>
                <w:kern w:val="0"/>
                <w:sz w:val="15"/>
                <w:szCs w:val="15"/>
              </w:rPr>
              <w:t>Project Management &amp; Capacity Building</w:t>
            </w:r>
          </w:p>
        </w:tc>
        <w:tc>
          <w:tcPr>
            <w:tcW w:w="1588" w:type="dxa"/>
            <w:vAlign w:val="center"/>
          </w:tcPr>
          <w:p>
            <w:pPr>
              <w:pStyle w:val="19"/>
              <w:jc w:val="right"/>
              <w:rPr>
                <w:kern w:val="2"/>
                <w:sz w:val="15"/>
                <w:szCs w:val="15"/>
              </w:rPr>
            </w:pPr>
            <w:r>
              <w:rPr>
                <w:kern w:val="2"/>
                <w:sz w:val="15"/>
                <w:szCs w:val="15"/>
              </w:rPr>
              <w:t>7,149,748.40</w:t>
            </w:r>
          </w:p>
        </w:tc>
        <w:tc>
          <w:tcPr>
            <w:tcW w:w="964"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276"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701" w:type="dxa"/>
            <w:vAlign w:val="center"/>
          </w:tcPr>
          <w:p>
            <w:pPr>
              <w:pStyle w:val="19"/>
              <w:jc w:val="right"/>
              <w:rPr>
                <w:kern w:val="2"/>
                <w:sz w:val="15"/>
                <w:szCs w:val="15"/>
              </w:rPr>
            </w:pPr>
            <w:r>
              <w:rPr>
                <w:kern w:val="2"/>
                <w:sz w:val="15"/>
                <w:szCs w:val="15"/>
              </w:rPr>
              <w:t>7,149,748.40</w:t>
            </w:r>
          </w:p>
        </w:tc>
        <w:tc>
          <w:tcPr>
            <w:tcW w:w="1219" w:type="dxa"/>
            <w:vAlign w:val="center"/>
          </w:tcPr>
          <w:p>
            <w:pPr>
              <w:pStyle w:val="19"/>
              <w:jc w:val="right"/>
              <w:rPr>
                <w:sz w:val="24"/>
                <w:szCs w:val="24"/>
              </w:rPr>
            </w:pPr>
            <w:r>
              <w:rPr>
                <w:kern w:val="2"/>
                <w:sz w:val="15"/>
                <w:szCs w:val="15"/>
              </w:rPr>
              <w:t>-</w:t>
            </w:r>
          </w:p>
        </w:tc>
        <w:tc>
          <w:tcPr>
            <w:tcW w:w="1419" w:type="dxa"/>
            <w:vAlign w:val="center"/>
          </w:tcPr>
          <w:p>
            <w:pPr>
              <w:pStyle w:val="19"/>
              <w:jc w:val="right"/>
              <w:rPr>
                <w:sz w:val="24"/>
                <w:szCs w:val="24"/>
              </w:rPr>
            </w:pPr>
            <w:r>
              <w:rPr>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bottom"/>
          </w:tcPr>
          <w:p>
            <w:pPr>
              <w:pStyle w:val="19"/>
              <w:widowControl/>
              <w:snapToGrid w:val="0"/>
              <w:jc w:val="left"/>
              <w:rPr>
                <w:kern w:val="0"/>
                <w:sz w:val="15"/>
                <w:szCs w:val="15"/>
              </w:rPr>
            </w:pPr>
          </w:p>
        </w:tc>
        <w:tc>
          <w:tcPr>
            <w:tcW w:w="1588" w:type="dxa"/>
            <w:vAlign w:val="center"/>
          </w:tcPr>
          <w:p>
            <w:pPr>
              <w:pStyle w:val="19"/>
              <w:widowControl w:val="0"/>
              <w:spacing w:line="240" w:lineRule="auto"/>
              <w:jc w:val="right"/>
              <w:rPr>
                <w:kern w:val="2"/>
                <w:sz w:val="15"/>
                <w:szCs w:val="15"/>
              </w:rPr>
            </w:pPr>
          </w:p>
        </w:tc>
        <w:tc>
          <w:tcPr>
            <w:tcW w:w="964" w:type="dxa"/>
            <w:vAlign w:val="center"/>
          </w:tcPr>
          <w:p>
            <w:pPr>
              <w:pStyle w:val="19"/>
              <w:widowControl w:val="0"/>
              <w:spacing w:line="240" w:lineRule="auto"/>
              <w:jc w:val="right"/>
              <w:rPr>
                <w:kern w:val="2"/>
                <w:sz w:val="15"/>
                <w:szCs w:val="15"/>
              </w:rPr>
            </w:pPr>
          </w:p>
        </w:tc>
        <w:tc>
          <w:tcPr>
            <w:tcW w:w="1134" w:type="dxa"/>
            <w:vAlign w:val="center"/>
          </w:tcPr>
          <w:p>
            <w:pPr>
              <w:pStyle w:val="19"/>
              <w:widowControl w:val="0"/>
              <w:spacing w:line="240" w:lineRule="auto"/>
              <w:jc w:val="right"/>
              <w:rPr>
                <w:kern w:val="2"/>
                <w:sz w:val="15"/>
                <w:szCs w:val="15"/>
              </w:rPr>
            </w:pPr>
          </w:p>
        </w:tc>
        <w:tc>
          <w:tcPr>
            <w:tcW w:w="1276" w:type="dxa"/>
            <w:vAlign w:val="center"/>
          </w:tcPr>
          <w:p>
            <w:pPr>
              <w:pStyle w:val="19"/>
              <w:widowControl w:val="0"/>
              <w:spacing w:line="240" w:lineRule="auto"/>
              <w:jc w:val="right"/>
              <w:rPr>
                <w:kern w:val="2"/>
                <w:sz w:val="15"/>
                <w:szCs w:val="15"/>
              </w:rPr>
            </w:pPr>
          </w:p>
        </w:tc>
        <w:tc>
          <w:tcPr>
            <w:tcW w:w="1134" w:type="dxa"/>
            <w:vAlign w:val="center"/>
          </w:tcPr>
          <w:p>
            <w:pPr>
              <w:pStyle w:val="19"/>
              <w:widowControl w:val="0"/>
              <w:spacing w:line="240" w:lineRule="auto"/>
              <w:jc w:val="right"/>
              <w:rPr>
                <w:kern w:val="2"/>
                <w:sz w:val="15"/>
                <w:szCs w:val="15"/>
              </w:rPr>
            </w:pPr>
          </w:p>
        </w:tc>
        <w:tc>
          <w:tcPr>
            <w:tcW w:w="1701" w:type="dxa"/>
            <w:vAlign w:val="center"/>
          </w:tcPr>
          <w:p>
            <w:pPr>
              <w:pStyle w:val="19"/>
              <w:widowControl w:val="0"/>
              <w:spacing w:line="240" w:lineRule="auto"/>
              <w:jc w:val="right"/>
              <w:rPr>
                <w:kern w:val="2"/>
                <w:sz w:val="15"/>
                <w:szCs w:val="15"/>
              </w:rPr>
            </w:pPr>
          </w:p>
        </w:tc>
        <w:tc>
          <w:tcPr>
            <w:tcW w:w="1219" w:type="dxa"/>
            <w:vAlign w:val="center"/>
          </w:tcPr>
          <w:p>
            <w:pPr>
              <w:pStyle w:val="19"/>
              <w:autoSpaceDE w:val="0"/>
              <w:autoSpaceDN w:val="0"/>
              <w:adjustRightInd w:val="0"/>
              <w:snapToGrid w:val="0"/>
              <w:spacing w:line="240" w:lineRule="atLeast"/>
              <w:jc w:val="right"/>
              <w:rPr>
                <w:rFonts w:eastAsia="Times New Roman"/>
                <w:bCs/>
                <w:sz w:val="15"/>
                <w:szCs w:val="15"/>
              </w:rPr>
            </w:pPr>
          </w:p>
        </w:tc>
        <w:tc>
          <w:tcPr>
            <w:tcW w:w="1419" w:type="dxa"/>
            <w:vAlign w:val="center"/>
          </w:tcPr>
          <w:p>
            <w:pPr>
              <w:pStyle w:val="19"/>
              <w:autoSpaceDE w:val="0"/>
              <w:autoSpaceDN w:val="0"/>
              <w:adjustRightInd w:val="0"/>
              <w:snapToGrid w:val="0"/>
              <w:spacing w:line="240" w:lineRule="atLeast"/>
              <w:jc w:val="right"/>
              <w:rPr>
                <w:rFonts w:eastAsia="Times New Roman"/>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19"/>
              <w:widowControl/>
              <w:spacing w:line="200" w:lineRule="exact"/>
              <w:jc w:val="center"/>
              <w:rPr>
                <w:kern w:val="0"/>
                <w:sz w:val="15"/>
                <w:szCs w:val="15"/>
              </w:rPr>
            </w:pPr>
          </w:p>
        </w:tc>
        <w:tc>
          <w:tcPr>
            <w:tcW w:w="1588" w:type="dxa"/>
            <w:vAlign w:val="center"/>
          </w:tcPr>
          <w:p>
            <w:pPr>
              <w:pStyle w:val="19"/>
              <w:widowControl w:val="0"/>
              <w:spacing w:line="240" w:lineRule="auto"/>
              <w:jc w:val="right"/>
              <w:rPr>
                <w:kern w:val="2"/>
                <w:sz w:val="15"/>
                <w:szCs w:val="15"/>
              </w:rPr>
            </w:pPr>
          </w:p>
        </w:tc>
        <w:tc>
          <w:tcPr>
            <w:tcW w:w="964" w:type="dxa"/>
            <w:vAlign w:val="center"/>
          </w:tcPr>
          <w:p>
            <w:pPr>
              <w:pStyle w:val="19"/>
              <w:widowControl w:val="0"/>
              <w:spacing w:line="240" w:lineRule="auto"/>
              <w:jc w:val="right"/>
              <w:rPr>
                <w:kern w:val="2"/>
                <w:sz w:val="15"/>
                <w:szCs w:val="15"/>
              </w:rPr>
            </w:pPr>
          </w:p>
        </w:tc>
        <w:tc>
          <w:tcPr>
            <w:tcW w:w="1134" w:type="dxa"/>
            <w:vAlign w:val="center"/>
          </w:tcPr>
          <w:p>
            <w:pPr>
              <w:pStyle w:val="19"/>
              <w:widowControl w:val="0"/>
              <w:spacing w:line="240" w:lineRule="auto"/>
              <w:jc w:val="right"/>
              <w:rPr>
                <w:kern w:val="2"/>
                <w:sz w:val="15"/>
                <w:szCs w:val="15"/>
              </w:rPr>
            </w:pPr>
          </w:p>
        </w:tc>
        <w:tc>
          <w:tcPr>
            <w:tcW w:w="1276" w:type="dxa"/>
            <w:vAlign w:val="center"/>
          </w:tcPr>
          <w:p>
            <w:pPr>
              <w:pStyle w:val="19"/>
              <w:widowControl w:val="0"/>
              <w:spacing w:line="240" w:lineRule="auto"/>
              <w:jc w:val="right"/>
              <w:rPr>
                <w:kern w:val="2"/>
                <w:sz w:val="15"/>
                <w:szCs w:val="15"/>
              </w:rPr>
            </w:pPr>
          </w:p>
        </w:tc>
        <w:tc>
          <w:tcPr>
            <w:tcW w:w="1134" w:type="dxa"/>
            <w:vAlign w:val="center"/>
          </w:tcPr>
          <w:p>
            <w:pPr>
              <w:pStyle w:val="19"/>
              <w:widowControl w:val="0"/>
              <w:spacing w:line="240" w:lineRule="auto"/>
              <w:jc w:val="right"/>
              <w:rPr>
                <w:kern w:val="2"/>
                <w:sz w:val="15"/>
                <w:szCs w:val="15"/>
              </w:rPr>
            </w:pPr>
          </w:p>
        </w:tc>
        <w:tc>
          <w:tcPr>
            <w:tcW w:w="1701" w:type="dxa"/>
            <w:vAlign w:val="center"/>
          </w:tcPr>
          <w:p>
            <w:pPr>
              <w:pStyle w:val="19"/>
              <w:widowControl w:val="0"/>
              <w:spacing w:line="240" w:lineRule="auto"/>
              <w:jc w:val="right"/>
              <w:rPr>
                <w:kern w:val="2"/>
                <w:sz w:val="15"/>
                <w:szCs w:val="15"/>
              </w:rPr>
            </w:pPr>
          </w:p>
        </w:tc>
        <w:tc>
          <w:tcPr>
            <w:tcW w:w="1219" w:type="dxa"/>
            <w:vAlign w:val="center"/>
          </w:tcPr>
          <w:p>
            <w:pPr>
              <w:pStyle w:val="19"/>
              <w:autoSpaceDE w:val="0"/>
              <w:autoSpaceDN w:val="0"/>
              <w:adjustRightInd w:val="0"/>
              <w:snapToGrid w:val="0"/>
              <w:spacing w:line="240" w:lineRule="atLeast"/>
              <w:jc w:val="right"/>
              <w:rPr>
                <w:rFonts w:eastAsia="Times New Roman"/>
                <w:bCs/>
                <w:sz w:val="15"/>
                <w:szCs w:val="15"/>
              </w:rPr>
            </w:pPr>
          </w:p>
        </w:tc>
        <w:tc>
          <w:tcPr>
            <w:tcW w:w="1419" w:type="dxa"/>
            <w:vAlign w:val="center"/>
          </w:tcPr>
          <w:p>
            <w:pPr>
              <w:pStyle w:val="19"/>
              <w:autoSpaceDE w:val="0"/>
              <w:autoSpaceDN w:val="0"/>
              <w:adjustRightInd w:val="0"/>
              <w:snapToGrid w:val="0"/>
              <w:spacing w:line="240" w:lineRule="atLeast"/>
              <w:jc w:val="right"/>
              <w:rPr>
                <w:rFonts w:eastAsia="Times New Roman"/>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62" w:type="dxa"/>
            <w:vAlign w:val="center"/>
          </w:tcPr>
          <w:p>
            <w:pPr>
              <w:pStyle w:val="19"/>
              <w:widowControl/>
              <w:spacing w:line="200" w:lineRule="exact"/>
              <w:jc w:val="center"/>
              <w:rPr>
                <w:kern w:val="0"/>
                <w:sz w:val="15"/>
                <w:szCs w:val="15"/>
              </w:rPr>
            </w:pPr>
            <w:r>
              <w:rPr>
                <w:kern w:val="0"/>
                <w:sz w:val="15"/>
                <w:szCs w:val="15"/>
              </w:rPr>
              <w:t>合计</w:t>
            </w:r>
          </w:p>
          <w:p>
            <w:pPr>
              <w:pStyle w:val="19"/>
              <w:widowControl/>
              <w:spacing w:line="200" w:lineRule="exact"/>
              <w:jc w:val="center"/>
              <w:rPr>
                <w:kern w:val="0"/>
                <w:sz w:val="15"/>
                <w:szCs w:val="15"/>
              </w:rPr>
            </w:pPr>
            <w:r>
              <w:rPr>
                <w:kern w:val="0"/>
                <w:sz w:val="15"/>
                <w:szCs w:val="15"/>
              </w:rPr>
              <w:t>Total</w:t>
            </w:r>
          </w:p>
        </w:tc>
        <w:tc>
          <w:tcPr>
            <w:tcW w:w="1588" w:type="dxa"/>
            <w:vAlign w:val="center"/>
          </w:tcPr>
          <w:p>
            <w:pPr>
              <w:pStyle w:val="19"/>
              <w:widowControl w:val="0"/>
              <w:spacing w:line="240" w:lineRule="auto"/>
              <w:ind w:right="0"/>
              <w:jc w:val="right"/>
              <w:rPr>
                <w:kern w:val="2"/>
                <w:sz w:val="15"/>
                <w:szCs w:val="15"/>
              </w:rPr>
            </w:pPr>
            <w:r>
              <w:rPr>
                <w:b w:val="0"/>
                <w:bCs w:val="0"/>
                <w:sz w:val="15"/>
                <w:szCs w:val="15"/>
              </w:rPr>
              <w:t>402,486,216.17</w:t>
            </w:r>
          </w:p>
        </w:tc>
        <w:tc>
          <w:tcPr>
            <w:tcW w:w="964"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276" w:type="dxa"/>
            <w:vAlign w:val="center"/>
          </w:tcPr>
          <w:p>
            <w:pPr>
              <w:pStyle w:val="19"/>
              <w:widowControl w:val="0"/>
              <w:spacing w:line="240" w:lineRule="auto"/>
              <w:jc w:val="right"/>
              <w:rPr>
                <w:kern w:val="2"/>
                <w:sz w:val="15"/>
                <w:szCs w:val="15"/>
              </w:rPr>
            </w:pPr>
            <w:r>
              <w:rPr>
                <w:kern w:val="2"/>
                <w:sz w:val="15"/>
                <w:szCs w:val="15"/>
              </w:rPr>
              <w:t>-</w:t>
            </w:r>
          </w:p>
        </w:tc>
        <w:tc>
          <w:tcPr>
            <w:tcW w:w="1134" w:type="dxa"/>
            <w:vAlign w:val="center"/>
          </w:tcPr>
          <w:p>
            <w:pPr>
              <w:pStyle w:val="19"/>
              <w:widowControl w:val="0"/>
              <w:spacing w:line="240" w:lineRule="auto"/>
              <w:jc w:val="right"/>
              <w:rPr>
                <w:kern w:val="2"/>
                <w:sz w:val="15"/>
                <w:szCs w:val="15"/>
              </w:rPr>
            </w:pPr>
            <w:r>
              <w:rPr>
                <w:kern w:val="2"/>
                <w:sz w:val="15"/>
                <w:szCs w:val="15"/>
              </w:rPr>
              <w:t>-</w:t>
            </w:r>
          </w:p>
        </w:tc>
        <w:tc>
          <w:tcPr>
            <w:tcW w:w="1701" w:type="dxa"/>
            <w:vAlign w:val="center"/>
          </w:tcPr>
          <w:p>
            <w:pPr>
              <w:pStyle w:val="19"/>
              <w:widowControl w:val="0"/>
              <w:spacing w:line="240" w:lineRule="auto"/>
              <w:jc w:val="right"/>
              <w:rPr>
                <w:kern w:val="2"/>
                <w:sz w:val="15"/>
                <w:szCs w:val="15"/>
              </w:rPr>
            </w:pPr>
            <w:r>
              <w:rPr>
                <w:rFonts w:ascii="Times New Roman" w:hAnsi="Times New Roman"/>
                <w:b w:val="0"/>
                <w:bCs w:val="0"/>
                <w:kern w:val="2"/>
                <w:sz w:val="15"/>
                <w:szCs w:val="15"/>
              </w:rPr>
              <w:t>402,486,216.17</w:t>
            </w:r>
          </w:p>
        </w:tc>
        <w:tc>
          <w:tcPr>
            <w:tcW w:w="1219" w:type="dxa"/>
            <w:vAlign w:val="center"/>
          </w:tcPr>
          <w:p>
            <w:pPr>
              <w:pStyle w:val="19"/>
              <w:autoSpaceDE w:val="0"/>
              <w:autoSpaceDN w:val="0"/>
              <w:adjustRightInd w:val="0"/>
              <w:snapToGrid w:val="0"/>
              <w:spacing w:line="240" w:lineRule="atLeast"/>
              <w:jc w:val="right"/>
              <w:rPr>
                <w:rFonts w:eastAsia="Times New Roman"/>
                <w:bCs/>
                <w:sz w:val="15"/>
                <w:szCs w:val="15"/>
              </w:rPr>
            </w:pPr>
            <w:r>
              <w:rPr>
                <w:rFonts w:eastAsia="Times New Roman"/>
                <w:bCs/>
                <w:sz w:val="15"/>
                <w:szCs w:val="15"/>
              </w:rPr>
              <w:t>-</w:t>
            </w:r>
          </w:p>
        </w:tc>
        <w:tc>
          <w:tcPr>
            <w:tcW w:w="1419" w:type="dxa"/>
            <w:vAlign w:val="center"/>
          </w:tcPr>
          <w:p>
            <w:pPr>
              <w:pStyle w:val="19"/>
              <w:autoSpaceDE w:val="0"/>
              <w:autoSpaceDN w:val="0"/>
              <w:adjustRightInd w:val="0"/>
              <w:snapToGrid w:val="0"/>
              <w:spacing w:line="240" w:lineRule="atLeast"/>
              <w:jc w:val="right"/>
              <w:rPr>
                <w:rFonts w:eastAsia="Times New Roman"/>
                <w:bCs/>
                <w:sz w:val="15"/>
                <w:szCs w:val="15"/>
              </w:rPr>
            </w:pPr>
            <w:r>
              <w:rPr>
                <w:rFonts w:eastAsia="Times New Roman"/>
                <w:bCs/>
                <w:sz w:val="15"/>
                <w:szCs w:val="15"/>
              </w:rPr>
              <w:t>-</w:t>
            </w:r>
          </w:p>
        </w:tc>
      </w:tr>
    </w:tbl>
    <w:p>
      <w:pPr>
        <w:pStyle w:val="19"/>
        <w:keepNext/>
        <w:autoSpaceDE w:val="0"/>
        <w:autoSpaceDN w:val="0"/>
        <w:adjustRightInd w:val="0"/>
        <w:snapToGrid w:val="0"/>
        <w:spacing w:line="400" w:lineRule="exact"/>
        <w:jc w:val="left"/>
        <w:outlineLvl w:val="1"/>
        <w:rPr>
          <w:rFonts w:eastAsia="仿宋_GB2312"/>
          <w:b/>
          <w:bCs/>
          <w:sz w:val="28"/>
          <w:szCs w:val="30"/>
        </w:rPr>
      </w:pPr>
      <w:bookmarkStart w:id="29" w:name="_Toc454893192"/>
      <w:bookmarkStart w:id="30" w:name="_Toc198720318"/>
      <w:bookmarkStart w:id="31" w:name="_Toc198721118"/>
      <w:bookmarkStart w:id="32" w:name="_Toc262213556"/>
      <w:bookmarkStart w:id="33" w:name="_Toc198720795"/>
      <w:bookmarkStart w:id="34" w:name="_Toc198720763"/>
      <w:bookmarkStart w:id="35" w:name="_Toc198720969"/>
      <w:bookmarkStart w:id="36" w:name="_Toc198721080"/>
      <w:r>
        <w:rPr>
          <w:rFonts w:eastAsia="仿宋_GB2312"/>
          <w:b/>
          <w:bCs/>
          <w:sz w:val="28"/>
          <w:szCs w:val="30"/>
        </w:rPr>
        <w:t>（三）贷款协定执行情况表</w:t>
      </w:r>
      <w:bookmarkEnd w:id="29"/>
      <w:bookmarkEnd w:id="30"/>
      <w:bookmarkEnd w:id="31"/>
      <w:bookmarkEnd w:id="32"/>
      <w:bookmarkEnd w:id="33"/>
      <w:bookmarkEnd w:id="34"/>
      <w:bookmarkEnd w:id="35"/>
      <w:bookmarkEnd w:id="36"/>
    </w:p>
    <w:p>
      <w:pPr>
        <w:pStyle w:val="19"/>
        <w:keepNext/>
        <w:autoSpaceDE w:val="0"/>
        <w:autoSpaceDN w:val="0"/>
        <w:adjustRightInd w:val="0"/>
        <w:snapToGrid w:val="0"/>
        <w:spacing w:line="400" w:lineRule="exact"/>
        <w:jc w:val="left"/>
        <w:outlineLvl w:val="1"/>
        <w:rPr>
          <w:rFonts w:eastAsia="Times New Roman"/>
          <w:b/>
          <w:bCs/>
          <w:sz w:val="28"/>
          <w:szCs w:val="30"/>
        </w:rPr>
      </w:pPr>
      <w:bookmarkStart w:id="37" w:name="_Toc262213557"/>
      <w:bookmarkStart w:id="38" w:name="_Toc454893193"/>
      <w:r>
        <w:rPr>
          <w:rFonts w:eastAsia="Times New Roman"/>
          <w:b/>
          <w:bCs/>
          <w:sz w:val="28"/>
          <w:szCs w:val="28"/>
        </w:rPr>
        <w:t>ii</w:t>
      </w:r>
      <w:r>
        <w:rPr>
          <w:rFonts w:eastAsia="Times New Roman"/>
          <w:b/>
          <w:bCs/>
          <w:sz w:val="28"/>
          <w:szCs w:val="30"/>
        </w:rPr>
        <w:t>i. Statement of Implementation of Loan Agreement</w:t>
      </w:r>
      <w:bookmarkEnd w:id="37"/>
      <w:bookmarkEnd w:id="38"/>
    </w:p>
    <w:p>
      <w:pPr>
        <w:pStyle w:val="19"/>
        <w:widowControl/>
        <w:snapToGrid w:val="0"/>
        <w:spacing w:line="400" w:lineRule="exact"/>
        <w:jc w:val="center"/>
        <w:rPr>
          <w:rFonts w:eastAsia="仿宋_GB2312"/>
          <w:b/>
          <w:kern w:val="0"/>
          <w:sz w:val="32"/>
          <w:szCs w:val="32"/>
        </w:rPr>
      </w:pPr>
      <w:r>
        <w:rPr>
          <w:rFonts w:eastAsia="仿宋_GB2312"/>
          <w:b/>
          <w:kern w:val="0"/>
          <w:sz w:val="32"/>
          <w:szCs w:val="32"/>
        </w:rPr>
        <w:t>贷 款 协 定 执 行 情 况 表</w:t>
      </w:r>
    </w:p>
    <w:p>
      <w:pPr>
        <w:pStyle w:val="19"/>
        <w:widowControl/>
        <w:spacing w:line="400" w:lineRule="exact"/>
        <w:jc w:val="center"/>
        <w:rPr>
          <w:b/>
          <w:bCs/>
          <w:kern w:val="0"/>
          <w:sz w:val="32"/>
          <w:szCs w:val="32"/>
        </w:rPr>
      </w:pPr>
      <w:r>
        <w:rPr>
          <w:b/>
          <w:bCs/>
          <w:kern w:val="0"/>
          <w:sz w:val="32"/>
          <w:szCs w:val="32"/>
        </w:rPr>
        <w:t>STATEMENT OF IMPLEMENTATION OF LOAN AGREEMENT</w:t>
      </w:r>
    </w:p>
    <w:p>
      <w:pPr>
        <w:pStyle w:val="19"/>
        <w:snapToGrid w:val="0"/>
        <w:spacing w:line="240" w:lineRule="atLeast"/>
        <w:jc w:val="center"/>
        <w:rPr>
          <w:rFonts w:eastAsia="仿宋_GB2312"/>
          <w:kern w:val="0"/>
          <w:szCs w:val="28"/>
        </w:rPr>
      </w:pPr>
      <w:r>
        <w:rPr>
          <w:rFonts w:eastAsia="仿宋_GB2312"/>
          <w:kern w:val="0"/>
          <w:szCs w:val="28"/>
        </w:rPr>
        <w:t>本期截</w:t>
      </w:r>
      <w:r>
        <w:rPr>
          <w:rFonts w:eastAsia="仿宋_GB2312"/>
          <w:kern w:val="0"/>
          <w:szCs w:val="21"/>
        </w:rPr>
        <w:t>至</w:t>
      </w:r>
      <w:r>
        <w:rPr>
          <w:rFonts w:hint="eastAsia" w:eastAsia="仿宋_GB2312"/>
          <w:kern w:val="0"/>
          <w:szCs w:val="28"/>
        </w:rPr>
        <w:t>2019</w:t>
      </w:r>
      <w:r>
        <w:rPr>
          <w:rFonts w:eastAsia="仿宋_GB2312"/>
          <w:kern w:val="0"/>
          <w:szCs w:val="21"/>
        </w:rPr>
        <w:t xml:space="preserve">年12月31日 </w:t>
      </w:r>
    </w:p>
    <w:p>
      <w:pPr>
        <w:pStyle w:val="19"/>
        <w:snapToGrid w:val="0"/>
        <w:spacing w:line="240" w:lineRule="atLeast"/>
        <w:jc w:val="center"/>
        <w:rPr>
          <w:rFonts w:eastAsia="仿宋_GB2312"/>
          <w:kern w:val="0"/>
          <w:szCs w:val="28"/>
        </w:rPr>
      </w:pPr>
      <w:r>
        <w:rPr>
          <w:rFonts w:eastAsia="仿宋_GB2312"/>
          <w:kern w:val="0"/>
          <w:szCs w:val="28"/>
        </w:rPr>
        <w:t xml:space="preserve">(For the period ended </w:t>
      </w:r>
      <w:r>
        <w:rPr>
          <w:rFonts w:hint="eastAsia" w:eastAsia="仿宋_GB2312"/>
          <w:kern w:val="0"/>
          <w:szCs w:val="28"/>
        </w:rPr>
        <w:t>December 31, 2019</w:t>
      </w:r>
      <w:r>
        <w:rPr>
          <w:rFonts w:eastAsia="仿宋_GB2312"/>
          <w:kern w:val="0"/>
          <w:szCs w:val="28"/>
        </w:rPr>
        <w:t>）</w:t>
      </w:r>
    </w:p>
    <w:p>
      <w:pPr>
        <w:pStyle w:val="19"/>
        <w:snapToGrid w:val="0"/>
        <w:spacing w:line="240" w:lineRule="atLeast"/>
        <w:jc w:val="center"/>
        <w:rPr>
          <w:rFonts w:eastAsia="仿宋_GB2312"/>
          <w:kern w:val="0"/>
          <w:szCs w:val="28"/>
        </w:rPr>
      </w:pPr>
    </w:p>
    <w:p>
      <w:pPr>
        <w:pStyle w:val="19"/>
        <w:snapToGrid w:val="0"/>
        <w:spacing w:line="120" w:lineRule="atLeast"/>
        <w:ind w:left="-48" w:leftChars="-27" w:right="-1784" w:hanging="8" w:hangingChars="4"/>
        <w:rPr>
          <w:rFonts w:eastAsia="仿宋_GB2312"/>
        </w:rPr>
      </w:pPr>
      <w:r>
        <w:rPr>
          <w:rFonts w:eastAsia="仿宋_GB2312"/>
        </w:rPr>
        <w:t xml:space="preserve"> </w:t>
      </w:r>
      <w:r>
        <w:rPr>
          <w:rFonts w:eastAsia="仿宋_GB2312"/>
          <w:spacing w:val="-10"/>
        </w:rPr>
        <w:t xml:space="preserve">项目名称：世界银行贷款川渝合作(广安)示范区基础设施建设项目                                                                                                               </w:t>
      </w:r>
    </w:p>
    <w:p>
      <w:pPr>
        <w:pStyle w:val="19"/>
        <w:snapToGrid w:val="0"/>
        <w:spacing w:line="120" w:lineRule="atLeast"/>
        <w:ind w:right="-1784"/>
        <w:rPr>
          <w:rFonts w:eastAsia="仿宋_GB2312"/>
        </w:rPr>
      </w:pPr>
      <w:r>
        <w:rPr>
          <w:rFonts w:eastAsia="仿宋_GB2312"/>
        </w:rPr>
        <w:t xml:space="preserve">Project Name: </w:t>
      </w:r>
      <w:r>
        <w:rPr>
          <w:rFonts w:hint="eastAsia" w:eastAsia="仿宋_GB2312"/>
        </w:rPr>
        <w:t>Sichuan-Chongqing Cooperation (Guang'an) Demonstration Area Infrastructure Construction Project Financed by the World Bank</w:t>
      </w:r>
      <w:r>
        <w:rPr>
          <w:rFonts w:eastAsia="仿宋_GB2312"/>
        </w:rPr>
        <w:t xml:space="preserve">                                                                             </w:t>
      </w:r>
    </w:p>
    <w:p>
      <w:pPr>
        <w:pStyle w:val="19"/>
        <w:snapToGrid w:val="0"/>
        <w:spacing w:line="120" w:lineRule="atLeast"/>
        <w:ind w:left="-49" w:leftChars="-27" w:right="-1784" w:hanging="7" w:hangingChars="4"/>
        <w:rPr>
          <w:rFonts w:eastAsia="仿宋_GB2312"/>
          <w:spacing w:val="-10"/>
        </w:rPr>
      </w:pPr>
      <w:r>
        <w:rPr>
          <w:rFonts w:eastAsia="仿宋_GB2312"/>
          <w:spacing w:val="-10"/>
        </w:rPr>
        <w:t xml:space="preserve"> 编报单位：</w:t>
      </w:r>
      <w:r>
        <w:rPr>
          <w:rFonts w:hint="eastAsia" w:eastAsia="仿宋_GB2312"/>
        </w:rPr>
        <w:t>世行贷款广安项目领导小组办公室</w:t>
      </w:r>
      <w:r>
        <w:rPr>
          <w:rFonts w:eastAsia="仿宋_GB2312"/>
          <w:spacing w:val="-10"/>
        </w:rPr>
        <w:t xml:space="preserve">                            </w:t>
      </w:r>
      <w:r>
        <w:rPr>
          <w:rFonts w:hint="eastAsia" w:eastAsia="仿宋_GB2312"/>
          <w:spacing w:val="-10"/>
        </w:rPr>
        <w:t xml:space="preserve">                           </w:t>
      </w:r>
      <w:r>
        <w:rPr>
          <w:rFonts w:eastAsia="仿宋_GB2312"/>
          <w:spacing w:val="-10"/>
        </w:rPr>
        <w:t xml:space="preserve"> </w:t>
      </w:r>
      <w:r>
        <w:rPr>
          <w:rFonts w:hint="eastAsia" w:eastAsia="仿宋_GB2312"/>
          <w:spacing w:val="-10"/>
        </w:rPr>
        <w:t>货币</w:t>
      </w:r>
      <w:r>
        <w:rPr>
          <w:rFonts w:eastAsia="仿宋_GB2312"/>
          <w:spacing w:val="-10"/>
        </w:rPr>
        <w:t>单位：美元/</w:t>
      </w:r>
      <w:r>
        <w:rPr>
          <w:rFonts w:eastAsia="仿宋_GB2312"/>
          <w:kern w:val="0"/>
          <w:szCs w:val="21"/>
        </w:rPr>
        <w:t>人民币元</w:t>
      </w:r>
    </w:p>
    <w:p>
      <w:pPr>
        <w:pStyle w:val="19"/>
        <w:snapToGrid w:val="0"/>
        <w:spacing w:line="120" w:lineRule="atLeast"/>
        <w:ind w:left="-48" w:leftChars="-23" w:right="-1784"/>
        <w:rPr>
          <w:rFonts w:eastAsia="仿宋_GB2312"/>
          <w:spacing w:val="-10"/>
        </w:rPr>
      </w:pPr>
      <w:r>
        <w:t>Prepared by</w:t>
      </w:r>
      <w:r>
        <w:rPr>
          <w:rFonts w:eastAsia="仿宋_GB2312"/>
          <w:spacing w:val="-10"/>
        </w:rPr>
        <w:t xml:space="preserve">: </w:t>
      </w:r>
      <w:r>
        <w:rPr>
          <w:rFonts w:hint="eastAsia" w:eastAsia="仿宋_GB2312"/>
        </w:rPr>
        <w:t>Guang</w:t>
      </w:r>
      <w:r>
        <w:rPr>
          <w:rFonts w:eastAsia="仿宋_GB2312"/>
        </w:rPr>
        <w:t>’</w:t>
      </w:r>
      <w:r>
        <w:rPr>
          <w:rFonts w:hint="eastAsia" w:eastAsia="仿宋_GB2312"/>
        </w:rPr>
        <w:t>an Project Management Office</w:t>
      </w:r>
      <w:r>
        <w:rPr>
          <w:rFonts w:eastAsia="仿宋_GB2312"/>
          <w:spacing w:val="-10"/>
        </w:rPr>
        <w:t xml:space="preserve">                                                 </w:t>
      </w:r>
      <w:r>
        <w:rPr>
          <w:rFonts w:hint="eastAsia" w:eastAsia="仿宋_GB2312"/>
          <w:spacing w:val="-10"/>
        </w:rPr>
        <w:t xml:space="preserve">    </w:t>
      </w:r>
      <w:r>
        <w:rPr>
          <w:rFonts w:eastAsia="仿宋_GB2312"/>
          <w:spacing w:val="-10"/>
        </w:rPr>
        <w:t xml:space="preserve"> Currency Unit: USD/ </w:t>
      </w:r>
      <w:r>
        <w:rPr>
          <w:kern w:val="0"/>
          <w:sz w:val="18"/>
          <w:szCs w:val="18"/>
        </w:rPr>
        <w:t>RMB Yuan</w:t>
      </w:r>
      <w:r>
        <w:rPr>
          <w:rFonts w:eastAsia="仿宋_GB2312"/>
          <w:spacing w:val="-10"/>
        </w:rPr>
        <w:t xml:space="preserve"> </w:t>
      </w:r>
    </w:p>
    <w:tbl>
      <w:tblPr>
        <w:tblStyle w:val="6"/>
        <w:tblW w:w="13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
      <w:tblGrid>
        <w:gridCol w:w="7050"/>
        <w:gridCol w:w="1640"/>
        <w:gridCol w:w="1325"/>
        <w:gridCol w:w="1338"/>
        <w:gridCol w:w="130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301" w:hRule="atLeast"/>
          <w:tblHeader/>
        </w:trPr>
        <w:tc>
          <w:tcPr>
            <w:tcW w:w="7050" w:type="dxa"/>
            <w:vMerge w:val="restart"/>
            <w:tcBorders>
              <w:top w:val="single" w:color="auto" w:sz="6" w:space="0"/>
              <w:left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类            别</w:t>
            </w:r>
          </w:p>
          <w:p>
            <w:pPr>
              <w:pStyle w:val="19"/>
              <w:autoSpaceDE w:val="0"/>
              <w:autoSpaceDN w:val="0"/>
              <w:adjustRightInd w:val="0"/>
              <w:spacing w:line="400" w:lineRule="exact"/>
              <w:jc w:val="center"/>
              <w:rPr>
                <w:bCs/>
                <w:sz w:val="15"/>
              </w:rPr>
            </w:pPr>
            <w:r>
              <w:rPr>
                <w:bCs/>
                <w:sz w:val="15"/>
              </w:rPr>
              <w:t>Category</w:t>
            </w:r>
          </w:p>
        </w:tc>
        <w:tc>
          <w:tcPr>
            <w:tcW w:w="1640" w:type="dxa"/>
            <w:vMerge w:val="restart"/>
            <w:tcBorders>
              <w:top w:val="single" w:color="auto" w:sz="6" w:space="0"/>
              <w:left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核定贷款金额</w:t>
            </w:r>
          </w:p>
          <w:p>
            <w:pPr>
              <w:pStyle w:val="19"/>
              <w:autoSpaceDE w:val="0"/>
              <w:autoSpaceDN w:val="0"/>
              <w:adjustRightInd w:val="0"/>
              <w:spacing w:line="400" w:lineRule="exact"/>
              <w:jc w:val="center"/>
              <w:rPr>
                <w:bCs/>
                <w:sz w:val="15"/>
              </w:rPr>
            </w:pPr>
            <w:r>
              <w:rPr>
                <w:bCs/>
                <w:sz w:val="15"/>
              </w:rPr>
              <w:t>Loan Amount</w:t>
            </w:r>
          </w:p>
          <w:p>
            <w:pPr>
              <w:pStyle w:val="19"/>
              <w:autoSpaceDE w:val="0"/>
              <w:autoSpaceDN w:val="0"/>
              <w:adjustRightInd w:val="0"/>
              <w:spacing w:line="400" w:lineRule="exact"/>
              <w:jc w:val="center"/>
              <w:rPr>
                <w:bCs/>
                <w:sz w:val="15"/>
              </w:rPr>
            </w:pPr>
            <w:r>
              <w:rPr>
                <w:bCs/>
                <w:sz w:val="15"/>
              </w:rPr>
              <w:t>美元</w:t>
            </w:r>
          </w:p>
          <w:p>
            <w:pPr>
              <w:pStyle w:val="19"/>
              <w:autoSpaceDE w:val="0"/>
              <w:autoSpaceDN w:val="0"/>
              <w:adjustRightInd w:val="0"/>
              <w:spacing w:line="400" w:lineRule="exact"/>
              <w:jc w:val="center"/>
              <w:rPr>
                <w:bCs/>
                <w:sz w:val="15"/>
              </w:rPr>
            </w:pPr>
            <w:r>
              <w:rPr>
                <w:bCs/>
                <w:sz w:val="15"/>
              </w:rPr>
              <w:t>USD</w:t>
            </w:r>
          </w:p>
        </w:tc>
        <w:tc>
          <w:tcPr>
            <w:tcW w:w="2663" w:type="dxa"/>
            <w:gridSpan w:val="2"/>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本年度提款数</w:t>
            </w:r>
          </w:p>
          <w:p>
            <w:pPr>
              <w:pStyle w:val="19"/>
              <w:autoSpaceDE w:val="0"/>
              <w:autoSpaceDN w:val="0"/>
              <w:adjustRightInd w:val="0"/>
              <w:spacing w:line="400" w:lineRule="exact"/>
              <w:jc w:val="center"/>
              <w:rPr>
                <w:bCs/>
                <w:sz w:val="15"/>
              </w:rPr>
            </w:pPr>
            <w:r>
              <w:rPr>
                <w:bCs/>
                <w:sz w:val="15"/>
              </w:rPr>
              <w:t>Current-period Withdrawals</w:t>
            </w:r>
          </w:p>
        </w:tc>
        <w:tc>
          <w:tcPr>
            <w:tcW w:w="2512" w:type="dxa"/>
            <w:gridSpan w:val="2"/>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累计提款数</w:t>
            </w:r>
          </w:p>
          <w:p>
            <w:pPr>
              <w:pStyle w:val="19"/>
              <w:autoSpaceDE w:val="0"/>
              <w:autoSpaceDN w:val="0"/>
              <w:adjustRightInd w:val="0"/>
              <w:spacing w:line="400" w:lineRule="exact"/>
              <w:jc w:val="center"/>
              <w:rPr>
                <w:bCs/>
                <w:sz w:val="15"/>
              </w:rPr>
            </w:pPr>
            <w:r>
              <w:rPr>
                <w:bCs/>
                <w:sz w:val="15"/>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cantSplit/>
          <w:trHeight w:val="164" w:hRule="atLeast"/>
          <w:tblHeader/>
        </w:trPr>
        <w:tc>
          <w:tcPr>
            <w:tcW w:w="7050" w:type="dxa"/>
            <w:vMerge w:val="continue"/>
            <w:tcBorders>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p>
        </w:tc>
        <w:tc>
          <w:tcPr>
            <w:tcW w:w="1640" w:type="dxa"/>
            <w:vMerge w:val="continue"/>
            <w:tcBorders>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美元</w:t>
            </w:r>
          </w:p>
          <w:p>
            <w:pPr>
              <w:pStyle w:val="19"/>
              <w:autoSpaceDE w:val="0"/>
              <w:autoSpaceDN w:val="0"/>
              <w:adjustRightInd w:val="0"/>
              <w:spacing w:line="400" w:lineRule="exact"/>
              <w:jc w:val="center"/>
              <w:rPr>
                <w:bCs/>
                <w:sz w:val="15"/>
              </w:rPr>
            </w:pPr>
            <w:r>
              <w:rPr>
                <w:bCs/>
                <w:sz w:val="15"/>
              </w:rPr>
              <w:t>USD</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折合人民币</w:t>
            </w:r>
          </w:p>
          <w:p>
            <w:pPr>
              <w:pStyle w:val="19"/>
              <w:autoSpaceDE w:val="0"/>
              <w:autoSpaceDN w:val="0"/>
              <w:adjustRightInd w:val="0"/>
              <w:spacing w:line="400" w:lineRule="exact"/>
              <w:jc w:val="center"/>
              <w:rPr>
                <w:bCs/>
                <w:sz w:val="15"/>
              </w:rPr>
            </w:pPr>
            <w:r>
              <w:rPr>
                <w:bCs/>
                <w:sz w:val="15"/>
              </w:rPr>
              <w:t>RMB</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美元</w:t>
            </w:r>
          </w:p>
          <w:p>
            <w:pPr>
              <w:pStyle w:val="19"/>
              <w:autoSpaceDE w:val="0"/>
              <w:autoSpaceDN w:val="0"/>
              <w:adjustRightInd w:val="0"/>
              <w:spacing w:line="400" w:lineRule="exact"/>
              <w:jc w:val="center"/>
              <w:rPr>
                <w:bCs/>
                <w:sz w:val="15"/>
              </w:rPr>
            </w:pPr>
            <w:r>
              <w:rPr>
                <w:bCs/>
                <w:sz w:val="15"/>
              </w:rPr>
              <w:t>USD</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center"/>
              <w:rPr>
                <w:bCs/>
                <w:sz w:val="15"/>
              </w:rPr>
            </w:pPr>
            <w:r>
              <w:rPr>
                <w:bCs/>
                <w:sz w:val="15"/>
              </w:rPr>
              <w:t>折合人民币</w:t>
            </w:r>
          </w:p>
          <w:p>
            <w:pPr>
              <w:pStyle w:val="19"/>
              <w:autoSpaceDE w:val="0"/>
              <w:autoSpaceDN w:val="0"/>
              <w:adjustRightInd w:val="0"/>
              <w:spacing w:line="400" w:lineRule="exact"/>
              <w:jc w:val="center"/>
              <w:rPr>
                <w:bCs/>
                <w:sz w:val="15"/>
              </w:rPr>
            </w:pPr>
            <w:r>
              <w:rPr>
                <w:bCs/>
                <w:sz w:val="15"/>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bCs/>
                <w:sz w:val="18"/>
                <w:szCs w:val="18"/>
              </w:rPr>
            </w:pPr>
            <w:bookmarkStart w:id="39" w:name="OLE_LINK7" w:colFirst="2" w:colLast="2"/>
            <w:bookmarkStart w:id="40" w:name="OLE_LINK8" w:colFirst="3" w:colLast="3"/>
            <w:bookmarkStart w:id="41" w:name="OLE_LINK9" w:colFirst="5" w:colLast="5"/>
            <w:r>
              <w:rPr>
                <w:rFonts w:ascii="宋体" w:hAnsi="宋体"/>
                <w:bCs/>
                <w:sz w:val="18"/>
                <w:szCs w:val="18"/>
              </w:rPr>
              <w:t xml:space="preserve">1. </w:t>
            </w:r>
            <w:r>
              <w:rPr>
                <w:rFonts w:hint="eastAsia" w:ascii="宋体" w:hAnsi="宋体"/>
                <w:bCs/>
                <w:sz w:val="18"/>
                <w:szCs w:val="18"/>
              </w:rPr>
              <w:t>货物、咨询服务与培训</w:t>
            </w:r>
            <w:r>
              <w:rPr>
                <w:rFonts w:ascii="宋体" w:hAnsi="宋体"/>
                <w:bCs/>
                <w:sz w:val="18"/>
                <w:szCs w:val="18"/>
              </w:rPr>
              <w:t xml:space="preserve">  </w:t>
            </w:r>
            <w:r>
              <w:rPr>
                <w:bCs/>
                <w:sz w:val="18"/>
                <w:szCs w:val="18"/>
              </w:rPr>
              <w:t xml:space="preserve">   Goods, Consults' Service &amp; Training</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 w:val="0"/>
                <w:bCs w:val="0"/>
                <w:sz w:val="15"/>
                <w:szCs w:val="15"/>
              </w:rPr>
              <w:t>4,866,800.00</w:t>
            </w:r>
            <w:r>
              <w:rPr>
                <w:bCs w:val="0"/>
                <w:sz w:val="15"/>
                <w:szCs w:val="15"/>
              </w:rPr>
              <w:t xml:space="preserve">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1,320,152.77</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9,209,649.76</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2,228,724.11</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15,548,025.14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ind w:firstLine="270" w:firstLineChars="150"/>
              <w:jc w:val="left"/>
              <w:rPr>
                <w:rFonts w:ascii="宋体" w:hAnsi="宋体"/>
                <w:sz w:val="18"/>
                <w:szCs w:val="18"/>
              </w:rPr>
            </w:pPr>
            <w:r>
              <w:rPr>
                <w:rFonts w:ascii="宋体" w:hAnsi="宋体"/>
                <w:sz w:val="18"/>
                <w:szCs w:val="18"/>
              </w:rPr>
              <w:t xml:space="preserve">(a) </w:t>
            </w:r>
            <w:r>
              <w:rPr>
                <w:rFonts w:hint="eastAsia" w:ascii="宋体" w:hAnsi="宋体"/>
                <w:sz w:val="18"/>
                <w:szCs w:val="18"/>
              </w:rPr>
              <w:t>邻水县子项目</w:t>
            </w:r>
            <w:r>
              <w:rPr>
                <w:rFonts w:ascii="宋体" w:hAnsi="宋体"/>
                <w:sz w:val="18"/>
                <w:szCs w:val="18"/>
              </w:rPr>
              <w:t xml:space="preserve"> </w:t>
            </w:r>
            <w:r>
              <w:rPr>
                <w:sz w:val="18"/>
                <w:szCs w:val="18"/>
              </w:rPr>
              <w:t>Linshui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sz w:val="15"/>
                <w:szCs w:val="15"/>
              </w:rPr>
              <w:t>3,963,100.00</w:t>
            </w:r>
            <w:r>
              <w:rPr>
                <w:bCs w:val="0"/>
                <w:sz w:val="15"/>
                <w:szCs w:val="15"/>
              </w:rPr>
              <w:t xml:space="preserve">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1,200,904.79</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8,377,752.00</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1,732,051.46</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12,083,137.40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ind w:firstLine="270" w:firstLineChars="150"/>
              <w:jc w:val="left"/>
              <w:rPr>
                <w:rFonts w:ascii="宋体" w:hAnsi="宋体"/>
                <w:sz w:val="18"/>
                <w:szCs w:val="18"/>
              </w:rPr>
            </w:pPr>
            <w:r>
              <w:rPr>
                <w:rFonts w:ascii="宋体" w:hAnsi="宋体"/>
                <w:sz w:val="18"/>
                <w:szCs w:val="18"/>
              </w:rPr>
              <w:t xml:space="preserve">(b) </w:t>
            </w:r>
            <w:r>
              <w:rPr>
                <w:rFonts w:hint="eastAsia" w:ascii="宋体" w:hAnsi="宋体"/>
                <w:sz w:val="18"/>
                <w:szCs w:val="18"/>
              </w:rPr>
              <w:t>前锋区子项目</w:t>
            </w:r>
            <w:r>
              <w:rPr>
                <w:rFonts w:ascii="宋体" w:hAnsi="宋体"/>
                <w:sz w:val="18"/>
                <w:szCs w:val="18"/>
              </w:rPr>
              <w:t xml:space="preserve"> </w:t>
            </w:r>
            <w:r>
              <w:rPr>
                <w:sz w:val="18"/>
                <w:szCs w:val="18"/>
              </w:rPr>
              <w:t>Qianfeng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 xml:space="preserve"> 903,700.00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119,247.98</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831,897.76</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496,672.65</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3,464,887.74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78"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bCs/>
                <w:sz w:val="18"/>
                <w:szCs w:val="18"/>
              </w:rPr>
            </w:pPr>
            <w:r>
              <w:rPr>
                <w:rFonts w:hint="eastAsia" w:ascii="宋体" w:hAnsi="宋体"/>
                <w:bCs/>
                <w:sz w:val="18"/>
                <w:szCs w:val="18"/>
              </w:rPr>
              <w:t>2.工程</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 xml:space="preserve"> 91,679,800.00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6,508,367.91</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45,403,676.21</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21,009,314.24</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 w:val="0"/>
                <w:bCs w:val="0"/>
                <w:sz w:val="15"/>
                <w:szCs w:val="15"/>
              </w:rPr>
              <w:t>146,565,178.00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ind w:firstLine="270" w:firstLineChars="150"/>
              <w:jc w:val="left"/>
              <w:rPr>
                <w:rFonts w:ascii="宋体" w:hAnsi="宋体"/>
                <w:sz w:val="18"/>
                <w:szCs w:val="18"/>
              </w:rPr>
            </w:pPr>
            <w:r>
              <w:rPr>
                <w:rFonts w:ascii="宋体" w:hAnsi="宋体"/>
                <w:sz w:val="18"/>
                <w:szCs w:val="18"/>
              </w:rPr>
              <w:t xml:space="preserve">(a) </w:t>
            </w:r>
            <w:r>
              <w:rPr>
                <w:rFonts w:hint="eastAsia" w:ascii="宋体" w:hAnsi="宋体"/>
                <w:sz w:val="18"/>
                <w:szCs w:val="18"/>
              </w:rPr>
              <w:t>邻水县子项目</w:t>
            </w:r>
            <w:r>
              <w:rPr>
                <w:rFonts w:ascii="宋体" w:hAnsi="宋体"/>
                <w:sz w:val="18"/>
                <w:szCs w:val="18"/>
              </w:rPr>
              <w:t xml:space="preserve"> </w:t>
            </w:r>
            <w:r>
              <w:rPr>
                <w:sz w:val="18"/>
                <w:szCs w:val="18"/>
              </w:rPr>
              <w:t>Linshui County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 xml:space="preserve"> 54,291,100.00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1,630,147.96</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11,372,238.20</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9,250,390.43</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64,532,573.72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ind w:firstLine="270" w:firstLineChars="150"/>
              <w:jc w:val="left"/>
              <w:rPr>
                <w:rFonts w:ascii="宋体" w:hAnsi="宋体"/>
                <w:sz w:val="18"/>
                <w:szCs w:val="18"/>
              </w:rPr>
            </w:pPr>
            <w:r>
              <w:rPr>
                <w:rFonts w:ascii="宋体" w:hAnsi="宋体"/>
                <w:sz w:val="18"/>
                <w:szCs w:val="18"/>
              </w:rPr>
              <w:t xml:space="preserve">(b) </w:t>
            </w:r>
            <w:r>
              <w:rPr>
                <w:rFonts w:hint="eastAsia" w:ascii="宋体" w:hAnsi="宋体"/>
                <w:sz w:val="18"/>
                <w:szCs w:val="18"/>
              </w:rPr>
              <w:t>前锋区子项目</w:t>
            </w:r>
            <w:r>
              <w:rPr>
                <w:rFonts w:ascii="宋体" w:hAnsi="宋体"/>
                <w:sz w:val="18"/>
                <w:szCs w:val="18"/>
              </w:rPr>
              <w:t xml:space="preserve"> </w:t>
            </w:r>
            <w:r>
              <w:rPr>
                <w:sz w:val="18"/>
                <w:szCs w:val="18"/>
              </w:rPr>
              <w:t>Qianfeng District Component</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 xml:space="preserve"> 11,666,500.00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3,689,370.42</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25,737,785.92</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3,689,370.42</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25,737,785.92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ind w:firstLine="270" w:firstLineChars="150"/>
              <w:jc w:val="left"/>
              <w:rPr>
                <w:rFonts w:ascii="宋体" w:hAnsi="宋体"/>
                <w:sz w:val="18"/>
                <w:szCs w:val="18"/>
              </w:rPr>
            </w:pPr>
            <w:r>
              <w:rPr>
                <w:rFonts w:ascii="宋体" w:hAnsi="宋体"/>
                <w:sz w:val="18"/>
                <w:szCs w:val="18"/>
              </w:rPr>
              <w:t xml:space="preserve">(c) </w:t>
            </w:r>
            <w:r>
              <w:rPr>
                <w:rFonts w:hint="eastAsia" w:ascii="宋体" w:hAnsi="宋体"/>
                <w:sz w:val="18"/>
                <w:szCs w:val="18"/>
              </w:rPr>
              <w:t>前锋区子项目</w:t>
            </w:r>
            <w:r>
              <w:rPr>
                <w:sz w:val="18"/>
                <w:szCs w:val="18"/>
              </w:rPr>
              <w:t xml:space="preserve"> Qianfeng District Component(QF-1/QF-3/QF-4)</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25,722,200.00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1,188,849.53</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8,293,652.09</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8,069,553.39</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sz w:val="15"/>
                <w:szCs w:val="15"/>
              </w:rPr>
              <w:t>56,294,818.36</w:t>
            </w:r>
          </w:p>
        </w:tc>
      </w:tr>
      <w:bookmarkEnd w:id="39"/>
      <w:bookmarkEnd w:id="40"/>
      <w:bookmarkEnd w:id="41"/>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65"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bCs/>
                <w:sz w:val="18"/>
                <w:szCs w:val="18"/>
              </w:rPr>
            </w:pPr>
            <w:r>
              <w:rPr>
                <w:rFonts w:hint="eastAsia" w:ascii="宋体" w:hAnsi="宋体"/>
                <w:bCs/>
                <w:sz w:val="18"/>
                <w:szCs w:val="18"/>
              </w:rPr>
              <w:t xml:space="preserve">3.先征费  </w:t>
            </w:r>
            <w:r>
              <w:rPr>
                <w:bCs/>
                <w:sz w:val="18"/>
                <w:szCs w:val="18"/>
              </w:rPr>
              <w:t>Front-end Fee</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250,000.00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rFonts w:hint="default"/>
                <w:bCs w:val="0"/>
                <w:sz w:val="15"/>
                <w:szCs w:val="15"/>
              </w:rPr>
              <w:t>250,000.00</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rFonts w:hint="default"/>
                <w:bCs w:val="0"/>
                <w:sz w:val="15"/>
                <w:szCs w:val="15"/>
              </w:rPr>
              <w:t>1,744,050.00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258"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bCs/>
                <w:sz w:val="18"/>
                <w:szCs w:val="18"/>
              </w:rPr>
            </w:pPr>
            <w:r>
              <w:rPr>
                <w:rFonts w:hint="eastAsia" w:ascii="宋体" w:hAnsi="宋体"/>
                <w:bCs/>
                <w:sz w:val="18"/>
                <w:szCs w:val="18"/>
              </w:rPr>
              <w:t>4.贷款利息及其他费用</w:t>
            </w:r>
            <w:r>
              <w:rPr>
                <w:bCs/>
                <w:sz w:val="18"/>
                <w:szCs w:val="18"/>
              </w:rPr>
              <w:t xml:space="preserve"> Interest and other charges</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3,203,400.00</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1,169,678.79</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8,159,913.17</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2,581,351.57</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18,008,024.82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86"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bCs/>
                <w:sz w:val="18"/>
                <w:szCs w:val="18"/>
              </w:rPr>
            </w:pPr>
            <w:r>
              <w:rPr>
                <w:rFonts w:ascii="宋体" w:hAnsi="宋体"/>
                <w:bCs/>
                <w:sz w:val="18"/>
                <w:szCs w:val="18"/>
              </w:rPr>
              <w:t>5</w:t>
            </w:r>
            <w:r>
              <w:rPr>
                <w:rFonts w:hint="eastAsia" w:ascii="宋体" w:hAnsi="宋体"/>
                <w:bCs/>
                <w:sz w:val="18"/>
                <w:szCs w:val="18"/>
              </w:rPr>
              <w:t xml:space="preserve">.指定帐户 </w:t>
            </w:r>
            <w:r>
              <w:rPr>
                <w:bCs/>
                <w:sz w:val="18"/>
                <w:szCs w:val="18"/>
              </w:rPr>
              <w:t xml:space="preserve"> Designated Account</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2,000,000.03</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13,952,400.21</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10,000,000.03</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69,762,000.21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sz w:val="18"/>
                <w:szCs w:val="18"/>
              </w:rPr>
            </w:pP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30" w:type="dxa"/>
            <w:bottom w:w="0" w:type="dxa"/>
            <w:right w:w="30" w:type="dxa"/>
          </w:tblCellMar>
        </w:tblPrEx>
        <w:trPr>
          <w:trHeight w:val="131" w:hRule="atLeast"/>
        </w:trPr>
        <w:tc>
          <w:tcPr>
            <w:tcW w:w="7050" w:type="dxa"/>
            <w:tcBorders>
              <w:top w:val="single" w:color="auto" w:sz="6" w:space="0"/>
              <w:left w:val="single" w:color="auto" w:sz="6" w:space="0"/>
              <w:bottom w:val="single" w:color="auto" w:sz="6" w:space="0"/>
              <w:right w:val="single" w:color="auto" w:sz="6" w:space="0"/>
            </w:tcBorders>
            <w:vAlign w:val="center"/>
          </w:tcPr>
          <w:p>
            <w:pPr>
              <w:pStyle w:val="19"/>
              <w:jc w:val="left"/>
              <w:rPr>
                <w:rFonts w:ascii="宋体" w:hAnsi="宋体" w:cs="宋体"/>
                <w:bCs/>
                <w:sz w:val="18"/>
                <w:szCs w:val="18"/>
              </w:rPr>
            </w:pPr>
            <w:r>
              <w:rPr>
                <w:rFonts w:hint="eastAsia" w:ascii="宋体" w:hAnsi="宋体"/>
                <w:bCs/>
                <w:sz w:val="18"/>
                <w:szCs w:val="18"/>
              </w:rPr>
              <w:t xml:space="preserve">总  计 </w:t>
            </w:r>
            <w:r>
              <w:rPr>
                <w:kern w:val="0"/>
                <w:sz w:val="15"/>
                <w:szCs w:val="15"/>
              </w:rPr>
              <w:t>Total</w:t>
            </w:r>
          </w:p>
        </w:tc>
        <w:tc>
          <w:tcPr>
            <w:tcW w:w="164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sz w:val="15"/>
                <w:szCs w:val="15"/>
              </w:rPr>
            </w:pPr>
            <w:r>
              <w:rPr>
                <w:bCs w:val="0"/>
                <w:sz w:val="15"/>
                <w:szCs w:val="15"/>
              </w:rPr>
              <w:t xml:space="preserve"> 100,000,000.00 </w:t>
            </w:r>
          </w:p>
        </w:tc>
        <w:tc>
          <w:tcPr>
            <w:tcW w:w="1325"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10,998,199.50</w:t>
            </w:r>
          </w:p>
        </w:tc>
        <w:tc>
          <w:tcPr>
            <w:tcW w:w="1338"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76,725,639.35</w:t>
            </w:r>
          </w:p>
        </w:tc>
        <w:tc>
          <w:tcPr>
            <w:tcW w:w="1300"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36,069,389.95</w:t>
            </w:r>
          </w:p>
        </w:tc>
        <w:tc>
          <w:tcPr>
            <w:tcW w:w="1212" w:type="dxa"/>
            <w:tcBorders>
              <w:top w:val="single" w:color="auto" w:sz="6" w:space="0"/>
              <w:left w:val="single" w:color="auto" w:sz="6" w:space="0"/>
              <w:bottom w:val="single" w:color="auto" w:sz="6" w:space="0"/>
              <w:right w:val="single" w:color="auto" w:sz="6" w:space="0"/>
            </w:tcBorders>
            <w:vAlign w:val="center"/>
          </w:tcPr>
          <w:p>
            <w:pPr>
              <w:pStyle w:val="19"/>
              <w:autoSpaceDE w:val="0"/>
              <w:autoSpaceDN w:val="0"/>
              <w:adjustRightInd w:val="0"/>
              <w:spacing w:line="400" w:lineRule="exact"/>
              <w:jc w:val="right"/>
              <w:rPr>
                <w:bCs w:val="0"/>
                <w:sz w:val="15"/>
                <w:szCs w:val="15"/>
              </w:rPr>
            </w:pPr>
            <w:r>
              <w:rPr>
                <w:bCs w:val="0"/>
                <w:sz w:val="15"/>
                <w:szCs w:val="15"/>
              </w:rPr>
              <w:t>251,627,278.17</w:t>
            </w:r>
          </w:p>
        </w:tc>
      </w:tr>
    </w:tbl>
    <w:p>
      <w:pPr>
        <w:pStyle w:val="19"/>
        <w:rPr>
          <w:rFonts w:ascii="宋体" w:hAnsi="宋体" w:cs="宋体"/>
          <w:kern w:val="0"/>
          <w:sz w:val="20"/>
        </w:rPr>
      </w:pPr>
      <w:r>
        <w:rPr>
          <w:rFonts w:hint="eastAsia" w:ascii="仿宋_GB2312" w:hAnsi="宋体" w:eastAsia="仿宋_GB2312" w:cs="宋体"/>
          <w:kern w:val="0"/>
          <w:szCs w:val="21"/>
        </w:rPr>
        <w:t>注：美元与人民币兑比率为</w:t>
      </w:r>
      <w:r>
        <w:rPr>
          <w:rFonts w:hint="eastAsia" w:ascii="仿宋_GB2312" w:hAnsi="宋体" w:eastAsia="仿宋_GB2312"/>
          <w:bCs/>
          <w:szCs w:val="21"/>
        </w:rPr>
        <w:t>1美元=6.9762</w:t>
      </w:r>
      <w:r>
        <w:rPr>
          <w:rFonts w:hint="eastAsia" w:ascii="仿宋_GB2312" w:hAnsi="宋体" w:eastAsia="仿宋_GB2312" w:cs="宋体"/>
          <w:kern w:val="0"/>
          <w:szCs w:val="21"/>
        </w:rPr>
        <w:t>元人民币</w:t>
      </w:r>
      <w:r>
        <w:rPr>
          <w:rFonts w:hint="eastAsia" w:ascii="宋体" w:hAnsi="宋体" w:cs="宋体"/>
          <w:kern w:val="0"/>
          <w:sz w:val="20"/>
        </w:rPr>
        <w:t>（Exchange Rate:USD1=RMB</w:t>
      </w:r>
      <w:r>
        <w:rPr>
          <w:rFonts w:hint="eastAsia" w:ascii="仿宋_GB2312" w:hAnsi="宋体" w:eastAsia="仿宋_GB2312"/>
          <w:bCs/>
          <w:szCs w:val="21"/>
        </w:rPr>
        <w:t>6.9762</w:t>
      </w:r>
      <w:r>
        <w:rPr>
          <w:rFonts w:hint="eastAsia" w:ascii="宋体" w:hAnsi="宋体" w:cs="宋体"/>
          <w:kern w:val="0"/>
          <w:sz w:val="20"/>
        </w:rPr>
        <w:t>yuan）</w:t>
      </w:r>
    </w:p>
    <w:p>
      <w:pPr>
        <w:pStyle w:val="19"/>
        <w:autoSpaceDE w:val="0"/>
        <w:autoSpaceDN w:val="0"/>
        <w:adjustRightInd w:val="0"/>
        <w:spacing w:line="300" w:lineRule="exact"/>
        <w:rPr>
          <w:sz w:val="28"/>
        </w:rPr>
        <w:sectPr>
          <w:footnotePr>
            <w:numRestart w:val="eachPage"/>
          </w:footnotePr>
          <w:pgSz w:w="16840" w:h="11907" w:orient="landscape"/>
          <w:pgMar w:top="2098" w:right="1474" w:bottom="1985" w:left="1588" w:header="851" w:footer="992" w:gutter="0"/>
          <w:cols w:space="720" w:num="1"/>
          <w:docGrid w:type="linesAndChars" w:linePitch="312" w:charSpace="0"/>
        </w:sectPr>
      </w:pPr>
    </w:p>
    <w:p>
      <w:pPr>
        <w:pStyle w:val="19"/>
        <w:keepNext/>
        <w:autoSpaceDE w:val="0"/>
        <w:autoSpaceDN w:val="0"/>
        <w:adjustRightInd w:val="0"/>
        <w:snapToGrid w:val="0"/>
        <w:spacing w:line="400" w:lineRule="exact"/>
        <w:jc w:val="left"/>
        <w:outlineLvl w:val="1"/>
        <w:rPr>
          <w:rFonts w:eastAsia="仿宋_GB2312"/>
          <w:b/>
          <w:bCs/>
          <w:sz w:val="28"/>
          <w:szCs w:val="30"/>
        </w:rPr>
      </w:pPr>
      <w:bookmarkStart w:id="42" w:name="_Toc454893194"/>
      <w:r>
        <w:rPr>
          <w:rFonts w:eastAsia="仿宋_GB2312"/>
          <w:b/>
          <w:bCs/>
          <w:sz w:val="28"/>
          <w:szCs w:val="30"/>
        </w:rPr>
        <w:t>（四）</w:t>
      </w:r>
      <w:r>
        <w:rPr>
          <w:rFonts w:hint="eastAsia" w:eastAsia="仿宋_GB2312"/>
          <w:b/>
          <w:bCs/>
          <w:sz w:val="28"/>
          <w:szCs w:val="30"/>
        </w:rPr>
        <w:t>指定</w:t>
      </w:r>
      <w:r>
        <w:rPr>
          <w:rFonts w:eastAsia="仿宋_GB2312"/>
          <w:b/>
          <w:bCs/>
          <w:sz w:val="28"/>
          <w:szCs w:val="30"/>
        </w:rPr>
        <w:t>账户报表</w:t>
      </w:r>
      <w:bookmarkEnd w:id="42"/>
    </w:p>
    <w:p>
      <w:pPr>
        <w:pStyle w:val="19"/>
        <w:keepNext/>
        <w:autoSpaceDE w:val="0"/>
        <w:autoSpaceDN w:val="0"/>
        <w:adjustRightInd w:val="0"/>
        <w:snapToGrid w:val="0"/>
        <w:spacing w:line="400" w:lineRule="exact"/>
        <w:jc w:val="left"/>
        <w:outlineLvl w:val="1"/>
        <w:rPr>
          <w:rFonts w:eastAsia="Times New Roman"/>
          <w:b/>
          <w:bCs/>
          <w:sz w:val="28"/>
          <w:szCs w:val="30"/>
        </w:rPr>
      </w:pPr>
      <w:bookmarkStart w:id="43" w:name="_Toc262213559"/>
      <w:bookmarkStart w:id="44" w:name="_Toc454893195"/>
      <w:r>
        <w:rPr>
          <w:rFonts w:eastAsia="Times New Roman"/>
          <w:b/>
          <w:bCs/>
          <w:sz w:val="28"/>
          <w:szCs w:val="30"/>
        </w:rPr>
        <w:t xml:space="preserve">iv. </w:t>
      </w:r>
      <w:r>
        <w:rPr>
          <w:rFonts w:hint="eastAsia"/>
          <w:b/>
          <w:bCs/>
          <w:sz w:val="28"/>
          <w:szCs w:val="30"/>
        </w:rPr>
        <w:t>Designated</w:t>
      </w:r>
      <w:r>
        <w:rPr>
          <w:rFonts w:eastAsia="Times New Roman"/>
          <w:b/>
          <w:bCs/>
          <w:sz w:val="28"/>
          <w:szCs w:val="30"/>
        </w:rPr>
        <w:t xml:space="preserve"> Account Statement</w:t>
      </w:r>
      <w:bookmarkEnd w:id="43"/>
      <w:bookmarkEnd w:id="44"/>
    </w:p>
    <w:p>
      <w:pPr>
        <w:pStyle w:val="19"/>
        <w:widowControl/>
        <w:snapToGrid w:val="0"/>
        <w:spacing w:line="400" w:lineRule="exact"/>
        <w:jc w:val="center"/>
        <w:rPr>
          <w:rFonts w:eastAsia="仿宋_GB2312"/>
          <w:b/>
          <w:kern w:val="0"/>
          <w:sz w:val="32"/>
          <w:szCs w:val="32"/>
        </w:rPr>
      </w:pPr>
      <w:r>
        <w:rPr>
          <w:rFonts w:hint="eastAsia" w:eastAsia="仿宋_GB2312"/>
          <w:b/>
          <w:kern w:val="0"/>
          <w:sz w:val="32"/>
          <w:szCs w:val="32"/>
        </w:rPr>
        <w:t>指 定</w:t>
      </w:r>
      <w:r>
        <w:rPr>
          <w:rFonts w:eastAsia="仿宋_GB2312"/>
          <w:b/>
          <w:kern w:val="0"/>
          <w:sz w:val="32"/>
          <w:szCs w:val="32"/>
        </w:rPr>
        <w:t xml:space="preserve"> 账 户 报 表</w:t>
      </w:r>
    </w:p>
    <w:p>
      <w:pPr>
        <w:pStyle w:val="19"/>
        <w:widowControl/>
        <w:spacing w:line="400" w:lineRule="exact"/>
        <w:jc w:val="center"/>
        <w:rPr>
          <w:b/>
          <w:bCs/>
          <w:kern w:val="0"/>
          <w:sz w:val="32"/>
          <w:szCs w:val="32"/>
        </w:rPr>
      </w:pPr>
      <w:r>
        <w:rPr>
          <w:rFonts w:hint="eastAsia"/>
          <w:b/>
          <w:bCs/>
          <w:kern w:val="0"/>
          <w:sz w:val="32"/>
          <w:szCs w:val="32"/>
        </w:rPr>
        <w:t>DESIGNATED</w:t>
      </w:r>
      <w:r>
        <w:rPr>
          <w:b/>
          <w:bCs/>
          <w:kern w:val="0"/>
          <w:sz w:val="32"/>
          <w:szCs w:val="32"/>
        </w:rPr>
        <w:t xml:space="preserve"> ACCOUNT STATEMENT</w:t>
      </w:r>
    </w:p>
    <w:p>
      <w:pPr>
        <w:pStyle w:val="19"/>
        <w:spacing w:line="400" w:lineRule="exact"/>
        <w:ind w:firstLine="3150" w:firstLineChars="1500"/>
        <w:jc w:val="left"/>
        <w:rPr>
          <w:rFonts w:eastAsia="仿宋_GB2312"/>
          <w:kern w:val="0"/>
        </w:rPr>
      </w:pPr>
      <w:r>
        <w:rPr>
          <w:rFonts w:eastAsia="仿宋_GB2312"/>
        </w:rPr>
        <w:t>本期截至</w:t>
      </w:r>
      <w:r>
        <w:rPr>
          <w:rFonts w:hint="eastAsia" w:eastAsia="仿宋_GB2312"/>
        </w:rPr>
        <w:t>2019</w:t>
      </w:r>
      <w:r>
        <w:rPr>
          <w:rFonts w:eastAsia="仿宋_GB2312"/>
        </w:rPr>
        <w:t xml:space="preserve">年12月31日 </w:t>
      </w:r>
      <w:r>
        <w:rPr>
          <w:rFonts w:eastAsia="仿宋_GB2312"/>
          <w:kern w:val="0"/>
        </w:rPr>
        <w:t xml:space="preserve">                       </w:t>
      </w:r>
    </w:p>
    <w:p>
      <w:pPr>
        <w:pStyle w:val="19"/>
        <w:spacing w:line="400" w:lineRule="exact"/>
        <w:jc w:val="center"/>
      </w:pPr>
      <w:r>
        <w:rPr>
          <w:rFonts w:hint="eastAsia"/>
        </w:rPr>
        <w:t xml:space="preserve">    </w:t>
      </w:r>
      <w:r>
        <w:t xml:space="preserve">(For the period ended </w:t>
      </w:r>
      <w:r>
        <w:rPr>
          <w:rFonts w:hint="eastAsia"/>
        </w:rPr>
        <w:t>December 31, 2019</w:t>
      </w:r>
      <w:r>
        <w:t>）</w:t>
      </w:r>
    </w:p>
    <w:p>
      <w:pPr>
        <w:pStyle w:val="19"/>
        <w:jc w:val="center"/>
        <w:rPr>
          <w:b/>
        </w:rPr>
      </w:pPr>
    </w:p>
    <w:p>
      <w:pPr>
        <w:pStyle w:val="19"/>
        <w:spacing w:line="240" w:lineRule="exact"/>
        <w:ind w:left="6213" w:leftChars="18" w:right="-237" w:rightChars="-113" w:hanging="6175" w:hangingChars="3250"/>
        <w:rPr>
          <w:rFonts w:eastAsia="仿宋_GB2312"/>
          <w:spacing w:val="-10"/>
        </w:rPr>
      </w:pPr>
      <w:r>
        <w:rPr>
          <w:rFonts w:eastAsia="仿宋_GB2312"/>
          <w:spacing w:val="-10"/>
        </w:rPr>
        <w:t>项目名称：世界银行贷款川渝合作(广安)示范区</w:t>
      </w:r>
      <w:r>
        <w:rPr>
          <w:rFonts w:hint="eastAsia" w:eastAsia="仿宋_GB2312"/>
          <w:spacing w:val="-10"/>
        </w:rPr>
        <w:t xml:space="preserve">     </w:t>
      </w:r>
      <w:r>
        <w:rPr>
          <w:rFonts w:eastAsia="仿宋_GB2312"/>
        </w:rPr>
        <w:t>开户银行名称：</w:t>
      </w:r>
      <w:r>
        <w:rPr>
          <w:rFonts w:hint="eastAsia" w:eastAsia="仿宋_GB2312"/>
        </w:rPr>
        <w:t>四川省建设银行锦城支行</w:t>
      </w:r>
    </w:p>
    <w:p>
      <w:pPr>
        <w:pStyle w:val="19"/>
        <w:spacing w:line="240" w:lineRule="exact"/>
        <w:ind w:left="6213" w:leftChars="18" w:right="-237" w:rightChars="-113" w:hanging="6175" w:hangingChars="3250"/>
        <w:rPr>
          <w:rFonts w:eastAsia="仿宋_GB2312"/>
        </w:rPr>
      </w:pPr>
      <w:r>
        <w:rPr>
          <w:rFonts w:hint="eastAsia" w:eastAsia="仿宋_GB2312"/>
          <w:spacing w:val="-10"/>
        </w:rPr>
        <w:t xml:space="preserve">           </w:t>
      </w:r>
      <w:r>
        <w:rPr>
          <w:rFonts w:eastAsia="仿宋_GB2312"/>
          <w:spacing w:val="-10"/>
        </w:rPr>
        <w:t xml:space="preserve">基础设施建设项目 </w:t>
      </w:r>
      <w:r>
        <w:rPr>
          <w:rFonts w:eastAsia="仿宋_GB2312"/>
        </w:rPr>
        <w:t xml:space="preserve">    </w:t>
      </w:r>
    </w:p>
    <w:p>
      <w:pPr>
        <w:pStyle w:val="19"/>
        <w:spacing w:line="300" w:lineRule="exact"/>
        <w:ind w:left="5040" w:hanging="5040" w:hangingChars="2400"/>
        <w:jc w:val="left"/>
        <w:rPr>
          <w:rFonts w:eastAsia="仿宋_GB2312"/>
        </w:rPr>
      </w:pPr>
      <w:r>
        <w:rPr>
          <w:rFonts w:eastAsia="仿宋_GB2312"/>
        </w:rPr>
        <w:t>Project Name: Sichuan</w:t>
      </w:r>
      <w:r>
        <w:rPr>
          <w:rFonts w:hint="eastAsia" w:eastAsia="仿宋_GB2312"/>
        </w:rPr>
        <w:t>-</w:t>
      </w:r>
      <w:r>
        <w:rPr>
          <w:rFonts w:eastAsia="仿宋_GB2312"/>
        </w:rPr>
        <w:t>Chongqing Cooperation</w:t>
      </w:r>
      <w:r>
        <w:rPr>
          <w:rFonts w:hint="eastAsia" w:eastAsia="仿宋_GB2312"/>
        </w:rPr>
        <w:t xml:space="preserve">      </w:t>
      </w:r>
      <w:r>
        <w:rPr>
          <w:rFonts w:eastAsia="仿宋_GB2312"/>
        </w:rPr>
        <w:t xml:space="preserve">Depository Bank: </w:t>
      </w:r>
      <w:r>
        <w:rPr>
          <w:rFonts w:hint="eastAsia" w:eastAsia="仿宋_GB2312"/>
        </w:rPr>
        <w:t>Jingcheng Branch,</w:t>
      </w:r>
    </w:p>
    <w:p>
      <w:pPr>
        <w:pStyle w:val="19"/>
        <w:spacing w:line="300" w:lineRule="exact"/>
        <w:ind w:left="5040" w:hanging="5040" w:hangingChars="2400"/>
        <w:jc w:val="left"/>
        <w:rPr>
          <w:rFonts w:eastAsia="仿宋_GB2312"/>
        </w:rPr>
      </w:pPr>
      <w:r>
        <w:rPr>
          <w:rFonts w:hint="eastAsia" w:eastAsia="仿宋_GB2312"/>
        </w:rPr>
        <w:t xml:space="preserve">            (Guang</w:t>
      </w:r>
      <w:r>
        <w:rPr>
          <w:rFonts w:eastAsia="仿宋_GB2312"/>
        </w:rPr>
        <w:t>’</w:t>
      </w:r>
      <w:r>
        <w:rPr>
          <w:rFonts w:hint="eastAsia" w:eastAsia="仿宋_GB2312"/>
        </w:rPr>
        <w:t xml:space="preserve">an) Demonstration Area                     Construction Bank of    </w:t>
      </w:r>
    </w:p>
    <w:p>
      <w:pPr>
        <w:pStyle w:val="19"/>
        <w:spacing w:line="300" w:lineRule="exact"/>
        <w:ind w:left="5040" w:hanging="5040" w:hangingChars="2400"/>
        <w:jc w:val="left"/>
        <w:rPr>
          <w:rFonts w:eastAsia="仿宋_GB2312"/>
        </w:rPr>
      </w:pPr>
      <w:r>
        <w:rPr>
          <w:rFonts w:hint="eastAsia" w:eastAsia="仿宋_GB2312"/>
        </w:rPr>
        <w:t xml:space="preserve">           Infrastructure Construction Project                    Sichuan                                       </w:t>
      </w:r>
    </w:p>
    <w:p>
      <w:pPr>
        <w:pStyle w:val="19"/>
        <w:spacing w:line="300" w:lineRule="exact"/>
        <w:rPr>
          <w:rFonts w:eastAsia="仿宋_GB2312"/>
        </w:rPr>
      </w:pPr>
      <w:r>
        <w:rPr>
          <w:rFonts w:hint="eastAsia" w:eastAsia="仿宋_GB2312"/>
        </w:rPr>
        <w:t xml:space="preserve">            Financed by the World Bank            </w:t>
      </w:r>
    </w:p>
    <w:p>
      <w:pPr>
        <w:pStyle w:val="19"/>
        <w:spacing w:line="300" w:lineRule="exact"/>
        <w:rPr>
          <w:rFonts w:eastAsia="仿宋_GB2312"/>
          <w:spacing w:val="-10"/>
        </w:rPr>
      </w:pPr>
      <w:r>
        <w:rPr>
          <w:rFonts w:eastAsia="仿宋_GB2312"/>
        </w:rPr>
        <w:t>账号：</w:t>
      </w:r>
      <w:r>
        <w:rPr>
          <w:kern w:val="0"/>
          <w:szCs w:val="21"/>
        </w:rPr>
        <w:t>51050189083609588666</w:t>
      </w:r>
      <w:r>
        <w:rPr>
          <w:rFonts w:hint="eastAsia"/>
          <w:kern w:val="0"/>
          <w:szCs w:val="21"/>
        </w:rPr>
        <w:t xml:space="preserve">                     </w:t>
      </w:r>
      <w:r>
        <w:rPr>
          <w:rFonts w:eastAsia="仿宋_GB2312"/>
        </w:rPr>
        <w:t>贷款号：</w:t>
      </w:r>
      <w:r>
        <w:rPr>
          <w:rFonts w:hint="eastAsia" w:eastAsia="仿宋_GB2312"/>
        </w:rPr>
        <w:t>8472</w:t>
      </w:r>
      <w:r>
        <w:rPr>
          <w:rFonts w:eastAsia="仿宋_GB2312"/>
        </w:rPr>
        <w:t xml:space="preserve">-CHA Loan </w:t>
      </w:r>
    </w:p>
    <w:p>
      <w:pPr>
        <w:pStyle w:val="19"/>
        <w:spacing w:line="300" w:lineRule="exact"/>
        <w:rPr>
          <w:rFonts w:eastAsia="仿宋_GB2312"/>
          <w:spacing w:val="-10"/>
        </w:rPr>
      </w:pPr>
      <w:r>
        <w:rPr>
          <w:rFonts w:eastAsia="仿宋_GB2312"/>
        </w:rPr>
        <w:t>Account No.:</w:t>
      </w:r>
      <w:r>
        <w:rPr>
          <w:kern w:val="0"/>
          <w:szCs w:val="21"/>
        </w:rPr>
        <w:t>51050189083609588666</w:t>
      </w:r>
      <w:r>
        <w:rPr>
          <w:rFonts w:hint="eastAsia"/>
          <w:kern w:val="0"/>
          <w:szCs w:val="21"/>
        </w:rPr>
        <w:t xml:space="preserve">                  </w:t>
      </w:r>
      <w:r>
        <w:rPr>
          <w:rFonts w:eastAsia="仿宋_GB2312"/>
        </w:rPr>
        <w:t>No.</w:t>
      </w:r>
      <w:r>
        <w:rPr>
          <w:rFonts w:eastAsia="仿宋_GB2312"/>
        </w:rPr>
        <w:tab/>
      </w:r>
      <w:r>
        <w:rPr>
          <w:rFonts w:hint="eastAsia" w:eastAsia="仿宋_GB2312"/>
        </w:rPr>
        <w:t>8472</w:t>
      </w:r>
      <w:r>
        <w:rPr>
          <w:rFonts w:eastAsia="仿宋_GB2312"/>
        </w:rPr>
        <w:t>-CHA</w:t>
      </w:r>
      <w:r>
        <w:rPr>
          <w:rFonts w:hint="eastAsia" w:eastAsia="仿宋_GB2312"/>
        </w:rPr>
        <w:t xml:space="preserve"> </w:t>
      </w:r>
    </w:p>
    <w:p>
      <w:pPr>
        <w:pStyle w:val="19"/>
        <w:spacing w:line="300" w:lineRule="exact"/>
        <w:rPr>
          <w:rFonts w:eastAsia="仿宋_GB2312"/>
        </w:rPr>
      </w:pPr>
      <w:r>
        <w:rPr>
          <w:rFonts w:eastAsia="仿宋_GB2312"/>
          <w:spacing w:val="-10"/>
        </w:rPr>
        <w:t>编报单位：</w:t>
      </w:r>
      <w:r>
        <w:rPr>
          <w:rFonts w:hint="eastAsia" w:eastAsia="仿宋_GB2312"/>
          <w:spacing w:val="-10"/>
        </w:rPr>
        <w:t>四川</w:t>
      </w:r>
      <w:r>
        <w:rPr>
          <w:rFonts w:eastAsia="仿宋_GB2312"/>
          <w:spacing w:val="-10"/>
        </w:rPr>
        <w:t>省财政厅</w:t>
      </w:r>
      <w:r>
        <w:rPr>
          <w:rFonts w:hint="eastAsia" w:eastAsia="仿宋_GB2312"/>
          <w:spacing w:val="-10"/>
        </w:rPr>
        <w:t xml:space="preserve">                                 </w:t>
      </w:r>
      <w:r>
        <w:rPr>
          <w:rFonts w:eastAsia="仿宋_GB2312"/>
        </w:rPr>
        <w:t>货币种类：美元</w:t>
      </w:r>
    </w:p>
    <w:p>
      <w:pPr>
        <w:pStyle w:val="19"/>
        <w:spacing w:line="300" w:lineRule="exact"/>
        <w:rPr>
          <w:kern w:val="0"/>
          <w:szCs w:val="21"/>
        </w:rPr>
      </w:pPr>
      <w:r>
        <w:t>Prepared by</w:t>
      </w:r>
      <w:r>
        <w:rPr>
          <w:rFonts w:eastAsia="仿宋_GB2312"/>
          <w:spacing w:val="-10"/>
        </w:rPr>
        <w:t xml:space="preserve">: The Finance Department of </w:t>
      </w:r>
      <w:r>
        <w:rPr>
          <w:rFonts w:hint="eastAsia" w:eastAsia="仿宋_GB2312"/>
          <w:spacing w:val="-10"/>
        </w:rPr>
        <w:t>Sichuan P</w:t>
      </w:r>
      <w:r>
        <w:rPr>
          <w:rFonts w:eastAsia="仿宋_GB2312"/>
          <w:spacing w:val="-10"/>
        </w:rPr>
        <w:t>rovince</w:t>
      </w:r>
      <w:r>
        <w:rPr>
          <w:rFonts w:hint="eastAsia" w:eastAsia="仿宋_GB2312"/>
          <w:spacing w:val="-10"/>
        </w:rPr>
        <w:t xml:space="preserve">  </w:t>
      </w:r>
      <w:r>
        <w:rPr>
          <w:rFonts w:eastAsia="仿宋_GB2312"/>
          <w:spacing w:val="-10"/>
        </w:rPr>
        <w:t xml:space="preserve"> </w:t>
      </w:r>
      <w:r>
        <w:rPr>
          <w:rFonts w:hint="eastAsia" w:eastAsia="仿宋_GB2312"/>
          <w:spacing w:val="-10"/>
        </w:rPr>
        <w:t xml:space="preserve">  </w:t>
      </w:r>
      <w:r>
        <w:rPr>
          <w:rFonts w:eastAsia="仿宋_GB2312"/>
        </w:rPr>
        <w:t>Currency: USD</w:t>
      </w:r>
    </w:p>
    <w:p>
      <w:pPr>
        <w:pStyle w:val="19"/>
        <w:spacing w:line="300" w:lineRule="exact"/>
        <w:rPr>
          <w:kern w:val="0"/>
          <w:szCs w:val="21"/>
        </w:rPr>
      </w:pPr>
      <w:r>
        <w:rPr>
          <w:rFonts w:hint="eastAsia" w:eastAsia="仿宋_GB2312"/>
          <w:spacing w:val="-10"/>
        </w:rPr>
        <w:t xml:space="preserve">      </w:t>
      </w:r>
    </w:p>
    <w:tbl>
      <w:tblPr>
        <w:tblStyle w:val="6"/>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7"/>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507" w:type="dxa"/>
            <w:vAlign w:val="center"/>
          </w:tcPr>
          <w:p>
            <w:pPr>
              <w:pStyle w:val="19"/>
              <w:spacing w:line="216" w:lineRule="exact"/>
              <w:jc w:val="center"/>
              <w:rPr>
                <w:sz w:val="15"/>
                <w:szCs w:val="15"/>
              </w:rPr>
            </w:pPr>
            <w:r>
              <w:rPr>
                <w:sz w:val="15"/>
                <w:szCs w:val="15"/>
              </w:rPr>
              <w:t>A部分：本期</w:t>
            </w:r>
            <w:r>
              <w:rPr>
                <w:rFonts w:hint="eastAsia"/>
                <w:sz w:val="15"/>
                <w:szCs w:val="15"/>
              </w:rPr>
              <w:t>指定</w:t>
            </w:r>
            <w:r>
              <w:rPr>
                <w:sz w:val="15"/>
                <w:szCs w:val="15"/>
              </w:rPr>
              <w:t>账户收支情况</w:t>
            </w:r>
          </w:p>
          <w:p>
            <w:pPr>
              <w:pStyle w:val="19"/>
              <w:spacing w:line="216" w:lineRule="exact"/>
              <w:jc w:val="center"/>
              <w:rPr>
                <w:b/>
                <w:sz w:val="15"/>
                <w:szCs w:val="15"/>
              </w:rPr>
            </w:pPr>
            <w:r>
              <w:rPr>
                <w:sz w:val="15"/>
                <w:szCs w:val="15"/>
              </w:rPr>
              <w:t>Part A-Account Activity for the Current Period</w:t>
            </w:r>
          </w:p>
        </w:tc>
        <w:tc>
          <w:tcPr>
            <w:tcW w:w="3163" w:type="dxa"/>
            <w:vAlign w:val="center"/>
          </w:tcPr>
          <w:p>
            <w:pPr>
              <w:pStyle w:val="19"/>
              <w:spacing w:line="216" w:lineRule="exact"/>
              <w:jc w:val="center"/>
              <w:rPr>
                <w:sz w:val="15"/>
                <w:szCs w:val="15"/>
              </w:rPr>
            </w:pPr>
            <w:r>
              <w:rPr>
                <w:sz w:val="15"/>
                <w:szCs w:val="15"/>
              </w:rPr>
              <w:t>金  额</w:t>
            </w:r>
          </w:p>
          <w:p>
            <w:pPr>
              <w:pStyle w:val="19"/>
              <w:spacing w:line="216" w:lineRule="exact"/>
              <w:jc w:val="center"/>
              <w:rPr>
                <w:sz w:val="15"/>
                <w:szCs w:val="15"/>
              </w:rPr>
            </w:pPr>
            <w:r>
              <w:rPr>
                <w:sz w:val="15"/>
                <w:szCs w:val="15"/>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5507" w:type="dxa"/>
            <w:vAlign w:val="bottom"/>
          </w:tcPr>
          <w:p>
            <w:pPr>
              <w:pStyle w:val="19"/>
              <w:spacing w:line="216" w:lineRule="exact"/>
              <w:rPr>
                <w:color w:val="000000"/>
                <w:sz w:val="15"/>
                <w:szCs w:val="15"/>
              </w:rPr>
            </w:pPr>
            <w:r>
              <w:rPr>
                <w:color w:val="000000"/>
                <w:sz w:val="15"/>
                <w:szCs w:val="15"/>
              </w:rPr>
              <w:t>期初余额</w:t>
            </w:r>
          </w:p>
          <w:p>
            <w:pPr>
              <w:pStyle w:val="19"/>
              <w:spacing w:line="216" w:lineRule="exact"/>
              <w:rPr>
                <w:color w:val="000000"/>
                <w:sz w:val="15"/>
                <w:szCs w:val="15"/>
              </w:rPr>
            </w:pPr>
            <w:r>
              <w:rPr>
                <w:color w:val="000000"/>
                <w:sz w:val="15"/>
                <w:szCs w:val="15"/>
              </w:rPr>
              <w:t>Beginning Balance</w:t>
            </w:r>
          </w:p>
        </w:tc>
        <w:tc>
          <w:tcPr>
            <w:tcW w:w="3163" w:type="dxa"/>
            <w:vAlign w:val="center"/>
          </w:tcPr>
          <w:p>
            <w:pPr>
              <w:pStyle w:val="19"/>
              <w:jc w:val="right"/>
              <w:rPr>
                <w:color w:val="000000"/>
                <w:sz w:val="15"/>
                <w:szCs w:val="15"/>
              </w:rPr>
            </w:pPr>
            <w:r>
              <w:rPr>
                <w:sz w:val="15"/>
                <w:szCs w:val="15"/>
              </w:rPr>
              <w:t>3,475,870.16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507" w:type="dxa"/>
            <w:vAlign w:val="bottom"/>
          </w:tcPr>
          <w:p>
            <w:pPr>
              <w:pStyle w:val="19"/>
              <w:spacing w:line="216" w:lineRule="exact"/>
              <w:rPr>
                <w:color w:val="000000"/>
                <w:sz w:val="15"/>
                <w:szCs w:val="15"/>
              </w:rPr>
            </w:pPr>
            <w:r>
              <w:rPr>
                <w:color w:val="000000"/>
                <w:sz w:val="15"/>
                <w:szCs w:val="15"/>
              </w:rPr>
              <w:t>增加：</w:t>
            </w:r>
          </w:p>
          <w:p>
            <w:pPr>
              <w:pStyle w:val="19"/>
              <w:spacing w:line="216" w:lineRule="exact"/>
              <w:rPr>
                <w:color w:val="000000"/>
                <w:sz w:val="15"/>
                <w:szCs w:val="15"/>
              </w:rPr>
            </w:pPr>
            <w:r>
              <w:rPr>
                <w:color w:val="000000"/>
                <w:sz w:val="15"/>
                <w:szCs w:val="15"/>
              </w:rPr>
              <w:t>Add:</w:t>
            </w:r>
          </w:p>
        </w:tc>
        <w:tc>
          <w:tcPr>
            <w:tcW w:w="3163" w:type="dxa"/>
            <w:vAlign w:val="center"/>
          </w:tcPr>
          <w:p>
            <w:pPr>
              <w:pStyle w:val="19"/>
              <w:ind w:right="7"/>
              <w:jc w:val="right"/>
              <w:rPr>
                <w:color w:val="000000"/>
                <w:sz w:val="15"/>
                <w:szCs w:val="15"/>
              </w:rPr>
            </w:pPr>
            <w:r>
              <w:rPr>
                <w:sz w:val="15"/>
                <w:szCs w:val="15"/>
              </w:rPr>
              <w:t>9,830,442.25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507" w:type="dxa"/>
            <w:vAlign w:val="bottom"/>
          </w:tcPr>
          <w:p>
            <w:pPr>
              <w:pStyle w:val="19"/>
              <w:spacing w:line="216" w:lineRule="exact"/>
              <w:rPr>
                <w:color w:val="000000"/>
                <w:sz w:val="15"/>
                <w:szCs w:val="15"/>
              </w:rPr>
            </w:pPr>
            <w:r>
              <w:rPr>
                <w:color w:val="000000"/>
                <w:sz w:val="15"/>
                <w:szCs w:val="15"/>
              </w:rPr>
              <w:t>本期世行回补总额</w:t>
            </w:r>
          </w:p>
          <w:p>
            <w:pPr>
              <w:pStyle w:val="19"/>
              <w:spacing w:line="216" w:lineRule="exact"/>
              <w:rPr>
                <w:color w:val="000000"/>
                <w:sz w:val="15"/>
                <w:szCs w:val="15"/>
              </w:rPr>
            </w:pPr>
            <w:r>
              <w:rPr>
                <w:color w:val="000000"/>
                <w:sz w:val="15"/>
                <w:szCs w:val="15"/>
              </w:rPr>
              <w:t>Total Amount Deposited this Period by World Bank</w:t>
            </w:r>
          </w:p>
        </w:tc>
        <w:tc>
          <w:tcPr>
            <w:tcW w:w="3163" w:type="dxa"/>
            <w:vAlign w:val="center"/>
          </w:tcPr>
          <w:p>
            <w:pPr>
              <w:pStyle w:val="19"/>
              <w:jc w:val="right"/>
              <w:rPr>
                <w:color w:val="000000"/>
                <w:sz w:val="15"/>
                <w:szCs w:val="15"/>
              </w:rPr>
            </w:pPr>
            <w:r>
              <w:rPr>
                <w:color w:val="000000"/>
                <w:sz w:val="15"/>
                <w:szCs w:val="15"/>
              </w:rPr>
              <w:t xml:space="preserve">                                    </w:t>
            </w:r>
            <w:r>
              <w:rPr>
                <w:sz w:val="15"/>
                <w:szCs w:val="15"/>
              </w:rPr>
              <w:t>9,828,520.71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507" w:type="dxa"/>
            <w:vAlign w:val="bottom"/>
          </w:tcPr>
          <w:p>
            <w:pPr>
              <w:pStyle w:val="19"/>
              <w:spacing w:line="216" w:lineRule="exact"/>
              <w:rPr>
                <w:color w:val="000000"/>
                <w:sz w:val="15"/>
                <w:szCs w:val="15"/>
              </w:rPr>
            </w:pPr>
            <w:r>
              <w:rPr>
                <w:color w:val="000000"/>
                <w:sz w:val="15"/>
                <w:szCs w:val="15"/>
              </w:rPr>
              <w:t>本期利息收入总额（存入</w:t>
            </w:r>
            <w:r>
              <w:rPr>
                <w:rFonts w:hint="eastAsia"/>
                <w:color w:val="000000"/>
                <w:sz w:val="15"/>
                <w:szCs w:val="15"/>
              </w:rPr>
              <w:t>指定</w:t>
            </w:r>
            <w:r>
              <w:rPr>
                <w:color w:val="000000"/>
                <w:sz w:val="15"/>
                <w:szCs w:val="15"/>
              </w:rPr>
              <w:t>账户部分）</w:t>
            </w:r>
          </w:p>
          <w:p>
            <w:pPr>
              <w:pStyle w:val="19"/>
              <w:spacing w:line="216" w:lineRule="exact"/>
              <w:rPr>
                <w:color w:val="000000"/>
                <w:sz w:val="15"/>
                <w:szCs w:val="15"/>
              </w:rPr>
            </w:pPr>
            <w:r>
              <w:rPr>
                <w:color w:val="000000"/>
                <w:sz w:val="15"/>
                <w:szCs w:val="15"/>
              </w:rPr>
              <w:t xml:space="preserve">Total Interest Earned this Period if Deposited in </w:t>
            </w:r>
            <w:r>
              <w:rPr>
                <w:rFonts w:hint="eastAsia"/>
                <w:color w:val="000000"/>
                <w:sz w:val="15"/>
                <w:szCs w:val="15"/>
              </w:rPr>
              <w:t>Designated</w:t>
            </w:r>
            <w:r>
              <w:rPr>
                <w:color w:val="000000"/>
                <w:sz w:val="15"/>
                <w:szCs w:val="15"/>
              </w:rPr>
              <w:t xml:space="preserve"> Account</w:t>
            </w:r>
          </w:p>
        </w:tc>
        <w:tc>
          <w:tcPr>
            <w:tcW w:w="3163" w:type="dxa"/>
            <w:vAlign w:val="center"/>
          </w:tcPr>
          <w:p>
            <w:pPr>
              <w:pStyle w:val="19"/>
              <w:jc w:val="right"/>
              <w:rPr>
                <w:color w:val="000000"/>
                <w:sz w:val="15"/>
                <w:szCs w:val="15"/>
              </w:rPr>
            </w:pPr>
            <w:r>
              <w:rPr>
                <w:color w:val="000000"/>
                <w:sz w:val="15"/>
                <w:szCs w:val="15"/>
              </w:rPr>
              <w:t xml:space="preserve">                                                </w:t>
            </w:r>
            <w:r>
              <w:rPr>
                <w:sz w:val="15"/>
                <w:szCs w:val="15"/>
              </w:rPr>
              <w:t>1,921.54</w:t>
            </w:r>
            <w:r>
              <w:rPr>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5507" w:type="dxa"/>
            <w:vAlign w:val="bottom"/>
          </w:tcPr>
          <w:p>
            <w:pPr>
              <w:pStyle w:val="19"/>
              <w:spacing w:line="216" w:lineRule="exact"/>
              <w:rPr>
                <w:color w:val="000000"/>
                <w:sz w:val="15"/>
                <w:szCs w:val="15"/>
              </w:rPr>
            </w:pPr>
            <w:r>
              <w:rPr>
                <w:color w:val="000000"/>
                <w:sz w:val="15"/>
                <w:szCs w:val="15"/>
              </w:rPr>
              <w:t>本期不合格支出归还总额</w:t>
            </w:r>
          </w:p>
          <w:p>
            <w:pPr>
              <w:pStyle w:val="19"/>
              <w:spacing w:line="216" w:lineRule="exact"/>
              <w:rPr>
                <w:color w:val="000000"/>
                <w:sz w:val="15"/>
                <w:szCs w:val="15"/>
              </w:rPr>
            </w:pPr>
            <w:r>
              <w:rPr>
                <w:color w:val="000000"/>
                <w:sz w:val="15"/>
                <w:szCs w:val="15"/>
              </w:rPr>
              <w:t xml:space="preserve">Total Amount Refunded this Period to Cover Ineligible Expenditures </w:t>
            </w:r>
          </w:p>
        </w:tc>
        <w:tc>
          <w:tcPr>
            <w:tcW w:w="3163" w:type="dxa"/>
            <w:vAlign w:val="center"/>
          </w:tcPr>
          <w:p>
            <w:pPr>
              <w:pStyle w:val="19"/>
              <w:jc w:val="right"/>
              <w:rPr>
                <w:color w:val="000000"/>
                <w:sz w:val="15"/>
                <w:szCs w:val="15"/>
              </w:rPr>
            </w:pPr>
            <w:r>
              <w:rPr>
                <w:color w:val="000000"/>
                <w:sz w:val="15"/>
                <w:szCs w:val="15"/>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507" w:type="dxa"/>
            <w:vAlign w:val="bottom"/>
          </w:tcPr>
          <w:p>
            <w:pPr>
              <w:pStyle w:val="19"/>
              <w:spacing w:line="216" w:lineRule="exact"/>
              <w:rPr>
                <w:color w:val="000000"/>
                <w:sz w:val="15"/>
                <w:szCs w:val="15"/>
              </w:rPr>
            </w:pPr>
            <w:r>
              <w:rPr>
                <w:color w:val="000000"/>
                <w:sz w:val="15"/>
                <w:szCs w:val="15"/>
              </w:rPr>
              <w:t>减少：</w:t>
            </w:r>
          </w:p>
          <w:p>
            <w:pPr>
              <w:pStyle w:val="19"/>
              <w:spacing w:line="216" w:lineRule="exact"/>
              <w:rPr>
                <w:color w:val="000000"/>
                <w:sz w:val="15"/>
                <w:szCs w:val="15"/>
              </w:rPr>
            </w:pPr>
            <w:r>
              <w:rPr>
                <w:color w:val="000000"/>
                <w:sz w:val="15"/>
                <w:szCs w:val="15"/>
              </w:rPr>
              <w:t>Deduct:</w:t>
            </w:r>
          </w:p>
        </w:tc>
        <w:tc>
          <w:tcPr>
            <w:tcW w:w="3163" w:type="dxa"/>
            <w:vAlign w:val="center"/>
          </w:tcPr>
          <w:p>
            <w:pPr>
              <w:pStyle w:val="19"/>
              <w:jc w:val="right"/>
              <w:rPr>
                <w:color w:val="000000"/>
                <w:sz w:val="15"/>
                <w:szCs w:val="15"/>
              </w:rPr>
            </w:pPr>
            <w:r>
              <w:rPr>
                <w:color w:val="000000"/>
                <w:sz w:val="15"/>
                <w:szCs w:val="15"/>
              </w:rPr>
              <w:t xml:space="preserve">                                      </w:t>
            </w:r>
            <w:r>
              <w:rPr>
                <w:sz w:val="15"/>
                <w:szCs w:val="15"/>
              </w:rPr>
              <w:t>6,841,503.21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5507" w:type="dxa"/>
            <w:vAlign w:val="bottom"/>
          </w:tcPr>
          <w:p>
            <w:pPr>
              <w:pStyle w:val="19"/>
              <w:spacing w:line="216" w:lineRule="exact"/>
              <w:rPr>
                <w:color w:val="000000"/>
                <w:sz w:val="15"/>
                <w:szCs w:val="15"/>
              </w:rPr>
            </w:pPr>
            <w:r>
              <w:rPr>
                <w:color w:val="000000"/>
                <w:sz w:val="15"/>
                <w:szCs w:val="15"/>
              </w:rPr>
              <w:t>本期支付总额</w:t>
            </w:r>
          </w:p>
          <w:p>
            <w:pPr>
              <w:pStyle w:val="19"/>
              <w:spacing w:line="216" w:lineRule="exact"/>
              <w:rPr>
                <w:color w:val="000000"/>
                <w:sz w:val="15"/>
                <w:szCs w:val="15"/>
              </w:rPr>
            </w:pPr>
            <w:r>
              <w:rPr>
                <w:color w:val="000000"/>
                <w:sz w:val="15"/>
                <w:szCs w:val="15"/>
              </w:rPr>
              <w:t>Total Amount Withdrawn this Period</w:t>
            </w:r>
          </w:p>
        </w:tc>
        <w:tc>
          <w:tcPr>
            <w:tcW w:w="3163" w:type="dxa"/>
            <w:vAlign w:val="center"/>
          </w:tcPr>
          <w:p>
            <w:pPr>
              <w:pStyle w:val="19"/>
              <w:jc w:val="right"/>
              <w:rPr>
                <w:color w:val="000000"/>
                <w:sz w:val="15"/>
                <w:szCs w:val="15"/>
              </w:rPr>
            </w:pPr>
            <w:r>
              <w:rPr>
                <w:color w:val="000000"/>
                <w:sz w:val="15"/>
                <w:szCs w:val="15"/>
              </w:rPr>
              <w:t xml:space="preserve">                                      </w:t>
            </w:r>
            <w:r>
              <w:rPr>
                <w:sz w:val="15"/>
                <w:szCs w:val="15"/>
              </w:rPr>
              <w:t>6,841,483.21</w:t>
            </w:r>
            <w:r>
              <w:rPr>
                <w:color w:val="000000"/>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5507" w:type="dxa"/>
            <w:vAlign w:val="bottom"/>
          </w:tcPr>
          <w:p>
            <w:pPr>
              <w:pStyle w:val="19"/>
              <w:spacing w:line="216" w:lineRule="exact"/>
              <w:rPr>
                <w:color w:val="000000"/>
                <w:sz w:val="15"/>
                <w:szCs w:val="15"/>
              </w:rPr>
            </w:pPr>
            <w:r>
              <w:rPr>
                <w:color w:val="000000"/>
                <w:sz w:val="15"/>
                <w:szCs w:val="15"/>
              </w:rPr>
              <w:t>本期未包括在支付额中的服务费支出</w:t>
            </w:r>
          </w:p>
          <w:p>
            <w:pPr>
              <w:pStyle w:val="19"/>
              <w:spacing w:line="216" w:lineRule="exact"/>
              <w:rPr>
                <w:color w:val="000000"/>
                <w:sz w:val="15"/>
                <w:szCs w:val="15"/>
              </w:rPr>
            </w:pPr>
            <w:r>
              <w:rPr>
                <w:color w:val="000000"/>
                <w:sz w:val="15"/>
                <w:szCs w:val="15"/>
              </w:rPr>
              <w:t>Total Service Charges this Period if not Included in Above Amount Withdrawn</w:t>
            </w:r>
          </w:p>
        </w:tc>
        <w:tc>
          <w:tcPr>
            <w:tcW w:w="3163" w:type="dxa"/>
            <w:vAlign w:val="center"/>
          </w:tcPr>
          <w:p>
            <w:pPr>
              <w:pStyle w:val="19"/>
              <w:jc w:val="right"/>
              <w:rPr>
                <w:color w:val="000000"/>
                <w:sz w:val="15"/>
                <w:szCs w:val="15"/>
              </w:rPr>
            </w:pPr>
            <w:r>
              <w:rPr>
                <w:color w:val="000000"/>
                <w:sz w:val="15"/>
                <w:szCs w:val="15"/>
              </w:rPr>
              <w:t xml:space="preserve">                                            </w:t>
            </w:r>
            <w:r>
              <w:rPr>
                <w:rFonts w:hint="eastAsia"/>
                <w:color w:val="000000"/>
                <w:sz w:val="15"/>
                <w:szCs w:val="15"/>
              </w:rPr>
              <w:t>2</w:t>
            </w:r>
            <w:r>
              <w:rPr>
                <w:color w:val="000000"/>
                <w:sz w:val="15"/>
                <w:szCs w:val="15"/>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5507" w:type="dxa"/>
            <w:vAlign w:val="bottom"/>
          </w:tcPr>
          <w:p>
            <w:pPr>
              <w:pStyle w:val="19"/>
              <w:spacing w:line="216" w:lineRule="exact"/>
              <w:rPr>
                <w:color w:val="000000"/>
                <w:sz w:val="15"/>
                <w:szCs w:val="15"/>
              </w:rPr>
            </w:pPr>
            <w:r>
              <w:rPr>
                <w:color w:val="000000"/>
                <w:sz w:val="15"/>
                <w:szCs w:val="15"/>
              </w:rPr>
              <w:t>期末余额</w:t>
            </w:r>
          </w:p>
          <w:p>
            <w:pPr>
              <w:pStyle w:val="19"/>
              <w:spacing w:line="216" w:lineRule="exact"/>
              <w:rPr>
                <w:color w:val="000000"/>
                <w:sz w:val="15"/>
                <w:szCs w:val="15"/>
              </w:rPr>
            </w:pPr>
            <w:r>
              <w:rPr>
                <w:color w:val="000000"/>
                <w:sz w:val="15"/>
                <w:szCs w:val="15"/>
              </w:rPr>
              <w:t xml:space="preserve">Ending Balance </w:t>
            </w:r>
          </w:p>
        </w:tc>
        <w:tc>
          <w:tcPr>
            <w:tcW w:w="3163" w:type="dxa"/>
            <w:vAlign w:val="center"/>
          </w:tcPr>
          <w:p>
            <w:pPr>
              <w:pStyle w:val="19"/>
              <w:jc w:val="right"/>
              <w:rPr>
                <w:color w:val="000000"/>
                <w:sz w:val="15"/>
                <w:szCs w:val="15"/>
              </w:rPr>
            </w:pPr>
            <w:r>
              <w:rPr>
                <w:color w:val="000000"/>
                <w:sz w:val="15"/>
                <w:szCs w:val="15"/>
              </w:rPr>
              <w:t xml:space="preserve">                                      </w:t>
            </w:r>
            <w:r>
              <w:rPr>
                <w:sz w:val="15"/>
                <w:szCs w:val="15"/>
              </w:rPr>
              <w:t>6,464,809.20</w:t>
            </w:r>
          </w:p>
        </w:tc>
      </w:tr>
    </w:tbl>
    <w:p>
      <w:pPr>
        <w:pStyle w:val="19"/>
        <w:tabs>
          <w:tab w:val="left" w:pos="7140"/>
        </w:tabs>
        <w:autoSpaceDE w:val="0"/>
        <w:autoSpaceDN w:val="0"/>
        <w:adjustRightInd w:val="0"/>
        <w:jc w:val="left"/>
        <w:rPr>
          <w:rFonts w:eastAsia="仿宋_GB2312"/>
          <w:color w:val="000000"/>
        </w:rPr>
      </w:pPr>
      <w:r>
        <w:rPr>
          <w:color w:val="000000"/>
          <w:szCs w:val="21"/>
        </w:rPr>
        <w:t>（</w:t>
      </w:r>
      <w:r>
        <w:rPr>
          <w:rFonts w:eastAsia="仿宋_GB2312"/>
          <w:color w:val="000000"/>
          <w:szCs w:val="21"/>
        </w:rPr>
        <w:t xml:space="preserve">后续To be </w:t>
      </w:r>
      <w:r>
        <w:rPr>
          <w:color w:val="000000"/>
          <w:szCs w:val="21"/>
        </w:rPr>
        <w:t>continued）</w:t>
      </w:r>
    </w:p>
    <w:p>
      <w:pPr>
        <w:pStyle w:val="19"/>
        <w:tabs>
          <w:tab w:val="left" w:pos="7140"/>
        </w:tabs>
        <w:autoSpaceDE w:val="0"/>
        <w:autoSpaceDN w:val="0"/>
        <w:adjustRightInd w:val="0"/>
        <w:jc w:val="right"/>
        <w:rPr>
          <w:rFonts w:eastAsia="仿宋_GB2312"/>
          <w:color w:val="000000"/>
        </w:rPr>
      </w:pPr>
    </w:p>
    <w:p>
      <w:pPr>
        <w:pStyle w:val="19"/>
        <w:tabs>
          <w:tab w:val="left" w:pos="7140"/>
        </w:tabs>
        <w:autoSpaceDE w:val="0"/>
        <w:autoSpaceDN w:val="0"/>
        <w:adjustRightInd w:val="0"/>
        <w:rPr>
          <w:rFonts w:eastAsia="仿宋_GB2312"/>
          <w:color w:val="000000"/>
        </w:rPr>
      </w:pPr>
    </w:p>
    <w:p>
      <w:pPr>
        <w:pStyle w:val="19"/>
        <w:tabs>
          <w:tab w:val="left" w:pos="7140"/>
        </w:tabs>
        <w:autoSpaceDE w:val="0"/>
        <w:autoSpaceDN w:val="0"/>
        <w:adjustRightInd w:val="0"/>
        <w:rPr>
          <w:rFonts w:eastAsia="仿宋_GB2312"/>
          <w:color w:val="000000"/>
        </w:rPr>
      </w:pPr>
    </w:p>
    <w:p>
      <w:pPr>
        <w:pStyle w:val="19"/>
        <w:tabs>
          <w:tab w:val="left" w:pos="7140"/>
        </w:tabs>
        <w:autoSpaceDE w:val="0"/>
        <w:autoSpaceDN w:val="0"/>
        <w:adjustRightInd w:val="0"/>
        <w:rPr>
          <w:rFonts w:eastAsia="仿宋_GB2312"/>
          <w:color w:val="000000"/>
        </w:rPr>
      </w:pPr>
    </w:p>
    <w:tbl>
      <w:tblPr>
        <w:tblStyle w:val="6"/>
        <w:tblW w:w="8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7"/>
        <w:gridCol w:w="252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jc w:val="center"/>
              <w:rPr>
                <w:color w:val="000000"/>
                <w:sz w:val="15"/>
                <w:szCs w:val="15"/>
              </w:rPr>
            </w:pPr>
            <w:r>
              <w:rPr>
                <w:color w:val="000000"/>
                <w:sz w:val="15"/>
                <w:szCs w:val="15"/>
              </w:rPr>
              <w:t>B部分：</w:t>
            </w:r>
            <w:r>
              <w:rPr>
                <w:rFonts w:hint="eastAsia"/>
                <w:color w:val="000000"/>
                <w:sz w:val="15"/>
                <w:szCs w:val="15"/>
              </w:rPr>
              <w:t>指定</w:t>
            </w:r>
            <w:r>
              <w:rPr>
                <w:color w:val="000000"/>
                <w:sz w:val="15"/>
                <w:szCs w:val="15"/>
              </w:rPr>
              <w:t>账户调节</w:t>
            </w:r>
          </w:p>
          <w:p>
            <w:pPr>
              <w:pStyle w:val="19"/>
              <w:spacing w:line="216" w:lineRule="exact"/>
              <w:jc w:val="center"/>
              <w:rPr>
                <w:color w:val="000000"/>
                <w:sz w:val="15"/>
                <w:szCs w:val="15"/>
              </w:rPr>
            </w:pPr>
            <w:r>
              <w:rPr>
                <w:color w:val="000000"/>
                <w:sz w:val="15"/>
                <w:szCs w:val="15"/>
              </w:rPr>
              <w:t>Part B-Account Reconciliation</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center"/>
              <w:rPr>
                <w:color w:val="000000"/>
                <w:sz w:val="15"/>
                <w:szCs w:val="15"/>
              </w:rPr>
            </w:pPr>
            <w:r>
              <w:rPr>
                <w:color w:val="000000"/>
                <w:sz w:val="15"/>
                <w:szCs w:val="15"/>
              </w:rPr>
              <w:t>金  额</w:t>
            </w:r>
          </w:p>
          <w:p>
            <w:pPr>
              <w:pStyle w:val="19"/>
              <w:jc w:val="center"/>
              <w:rPr>
                <w:color w:val="000000"/>
                <w:sz w:val="15"/>
                <w:szCs w:val="15"/>
              </w:rPr>
            </w:pPr>
            <w:r>
              <w:rPr>
                <w:color w:val="000000"/>
                <w:sz w:val="15"/>
                <w:szCs w:val="15"/>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rPr>
                <w:color w:val="000000"/>
                <w:sz w:val="15"/>
                <w:szCs w:val="15"/>
              </w:rPr>
            </w:pPr>
            <w:r>
              <w:rPr>
                <w:color w:val="000000"/>
                <w:sz w:val="15"/>
                <w:szCs w:val="15"/>
              </w:rPr>
              <w:t xml:space="preserve">1. 世行首次存款总额  </w:t>
            </w:r>
          </w:p>
          <w:p>
            <w:pPr>
              <w:pStyle w:val="19"/>
              <w:spacing w:line="216" w:lineRule="exact"/>
              <w:ind w:firstLine="150" w:firstLineChars="100"/>
              <w:rPr>
                <w:color w:val="000000"/>
                <w:sz w:val="15"/>
                <w:szCs w:val="15"/>
              </w:rPr>
            </w:pPr>
            <w:r>
              <w:rPr>
                <w:color w:val="000000"/>
                <w:sz w:val="15"/>
                <w:szCs w:val="15"/>
              </w:rPr>
              <w:t>Amount Advanced by World Bank</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xml:space="preserve">                                      10,000,000.00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ind w:firstLine="150" w:firstLineChars="100"/>
              <w:rPr>
                <w:color w:val="000000"/>
                <w:sz w:val="15"/>
                <w:szCs w:val="15"/>
              </w:rPr>
            </w:pPr>
            <w:r>
              <w:rPr>
                <w:color w:val="000000"/>
                <w:sz w:val="15"/>
                <w:szCs w:val="15"/>
              </w:rPr>
              <w:t>减少：</w:t>
            </w:r>
          </w:p>
          <w:p>
            <w:pPr>
              <w:pStyle w:val="19"/>
              <w:spacing w:line="216" w:lineRule="exact"/>
              <w:ind w:firstLine="150" w:firstLineChars="100"/>
              <w:rPr>
                <w:color w:val="000000"/>
                <w:sz w:val="15"/>
                <w:szCs w:val="15"/>
              </w:rPr>
            </w:pPr>
            <w:r>
              <w:rPr>
                <w:color w:val="000000"/>
                <w:sz w:val="15"/>
                <w:szCs w:val="15"/>
              </w:rPr>
              <w:t>Deduct:</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rPr>
                <w:color w:val="000000"/>
                <w:sz w:val="15"/>
                <w:szCs w:val="15"/>
              </w:rPr>
            </w:pPr>
            <w:r>
              <w:rPr>
                <w:color w:val="000000"/>
                <w:sz w:val="15"/>
                <w:szCs w:val="15"/>
              </w:rPr>
              <w:t>2. 世界银行回收总额</w:t>
            </w:r>
          </w:p>
          <w:p>
            <w:pPr>
              <w:pStyle w:val="19"/>
              <w:spacing w:line="216" w:lineRule="exact"/>
              <w:ind w:firstLine="150" w:firstLineChars="100"/>
              <w:rPr>
                <w:color w:val="000000"/>
                <w:sz w:val="15"/>
                <w:szCs w:val="15"/>
              </w:rPr>
            </w:pPr>
            <w:r>
              <w:rPr>
                <w:color w:val="000000"/>
                <w:sz w:val="15"/>
                <w:szCs w:val="15"/>
              </w:rPr>
              <w:t>Total Amount Recovered by World Bank</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rPr>
                <w:color w:val="000000"/>
                <w:sz w:val="15"/>
                <w:szCs w:val="15"/>
              </w:rPr>
            </w:pPr>
            <w:r>
              <w:rPr>
                <w:color w:val="000000"/>
                <w:sz w:val="15"/>
                <w:szCs w:val="15"/>
              </w:rPr>
              <w:t>3. 本期期末</w:t>
            </w:r>
            <w:r>
              <w:rPr>
                <w:rFonts w:hint="eastAsia"/>
                <w:color w:val="000000"/>
                <w:sz w:val="15"/>
                <w:szCs w:val="15"/>
              </w:rPr>
              <w:t>指定</w:t>
            </w:r>
            <w:r>
              <w:rPr>
                <w:color w:val="000000"/>
                <w:sz w:val="15"/>
                <w:szCs w:val="15"/>
              </w:rPr>
              <w:t>账户首次存款净额</w:t>
            </w:r>
          </w:p>
          <w:p>
            <w:pPr>
              <w:pStyle w:val="19"/>
              <w:spacing w:line="216" w:lineRule="exact"/>
              <w:ind w:left="151" w:leftChars="72"/>
              <w:rPr>
                <w:color w:val="000000"/>
                <w:sz w:val="15"/>
                <w:szCs w:val="15"/>
              </w:rPr>
            </w:pPr>
            <w:r>
              <w:rPr>
                <w:color w:val="000000"/>
                <w:sz w:val="15"/>
                <w:szCs w:val="15"/>
              </w:rPr>
              <w:t xml:space="preserve">Outstanding Amount Advanced to the </w:t>
            </w:r>
            <w:r>
              <w:rPr>
                <w:rFonts w:hint="eastAsia"/>
                <w:color w:val="000000"/>
                <w:sz w:val="15"/>
                <w:szCs w:val="15"/>
              </w:rPr>
              <w:t>Designated</w:t>
            </w:r>
            <w:r>
              <w:rPr>
                <w:color w:val="000000"/>
                <w:sz w:val="15"/>
                <w:szCs w:val="15"/>
              </w:rPr>
              <w:t xml:space="preserve"> Account at the End of this Period</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xml:space="preserve">                                      10,000,000.00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rPr>
                <w:color w:val="000000"/>
                <w:sz w:val="15"/>
                <w:szCs w:val="15"/>
              </w:rPr>
            </w:pPr>
            <w:r>
              <w:rPr>
                <w:color w:val="000000"/>
                <w:sz w:val="15"/>
                <w:szCs w:val="15"/>
              </w:rPr>
              <w:t xml:space="preserve">4. </w:t>
            </w:r>
            <w:r>
              <w:rPr>
                <w:rFonts w:hint="eastAsia"/>
                <w:color w:val="000000"/>
                <w:sz w:val="15"/>
                <w:szCs w:val="15"/>
              </w:rPr>
              <w:t>指定</w:t>
            </w:r>
            <w:r>
              <w:rPr>
                <w:color w:val="000000"/>
                <w:sz w:val="15"/>
                <w:szCs w:val="15"/>
              </w:rPr>
              <w:t>账户期末余额</w:t>
            </w:r>
          </w:p>
          <w:p>
            <w:pPr>
              <w:pStyle w:val="19"/>
              <w:spacing w:line="216" w:lineRule="exact"/>
              <w:ind w:firstLine="150" w:firstLineChars="100"/>
              <w:rPr>
                <w:color w:val="000000"/>
                <w:sz w:val="15"/>
                <w:szCs w:val="15"/>
              </w:rPr>
            </w:pPr>
            <w:r>
              <w:rPr>
                <w:color w:val="000000"/>
                <w:sz w:val="15"/>
                <w:szCs w:val="15"/>
              </w:rPr>
              <w:t xml:space="preserve">Ending Balance of </w:t>
            </w:r>
            <w:r>
              <w:rPr>
                <w:rFonts w:hint="eastAsia"/>
                <w:color w:val="000000"/>
                <w:sz w:val="15"/>
                <w:szCs w:val="15"/>
              </w:rPr>
              <w:t>Designated</w:t>
            </w:r>
            <w:r>
              <w:rPr>
                <w:color w:val="000000"/>
                <w:sz w:val="15"/>
                <w:szCs w:val="15"/>
              </w:rPr>
              <w:t xml:space="preserve"> Account </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xml:space="preserve">                                      6,464,809.20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ind w:firstLine="150" w:firstLineChars="100"/>
              <w:rPr>
                <w:color w:val="000000"/>
                <w:sz w:val="15"/>
                <w:szCs w:val="15"/>
              </w:rPr>
            </w:pPr>
            <w:r>
              <w:rPr>
                <w:color w:val="000000"/>
                <w:sz w:val="15"/>
                <w:szCs w:val="15"/>
              </w:rPr>
              <w:t>增加：</w:t>
            </w:r>
          </w:p>
          <w:p>
            <w:pPr>
              <w:pStyle w:val="19"/>
              <w:spacing w:line="216" w:lineRule="exact"/>
              <w:ind w:firstLine="150" w:firstLineChars="100"/>
              <w:rPr>
                <w:color w:val="000000"/>
                <w:sz w:val="15"/>
                <w:szCs w:val="15"/>
              </w:rPr>
            </w:pPr>
            <w:r>
              <w:rPr>
                <w:color w:val="000000"/>
                <w:sz w:val="15"/>
                <w:szCs w:val="15"/>
              </w:rPr>
              <w:t>Add:</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xml:space="preserve">                                         3,540,239.74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507" w:type="dxa"/>
            <w:gridSpan w:val="2"/>
            <w:tcBorders>
              <w:top w:val="single" w:color="auto" w:sz="4" w:space="0"/>
              <w:left w:val="single" w:color="auto" w:sz="4" w:space="0"/>
              <w:bottom w:val="single" w:color="auto" w:sz="4" w:space="0"/>
              <w:right w:val="single" w:color="auto" w:sz="4" w:space="0"/>
            </w:tcBorders>
            <w:vAlign w:val="bottom"/>
          </w:tcPr>
          <w:p>
            <w:pPr>
              <w:pStyle w:val="19"/>
              <w:spacing w:line="216" w:lineRule="exact"/>
              <w:rPr>
                <w:color w:val="000000"/>
                <w:sz w:val="15"/>
                <w:szCs w:val="15"/>
              </w:rPr>
            </w:pPr>
            <w:r>
              <w:rPr>
                <w:color w:val="000000"/>
                <w:sz w:val="15"/>
                <w:szCs w:val="15"/>
              </w:rPr>
              <w:t>5. 截至本期期末已申请报账但尚未回补金额</w:t>
            </w:r>
          </w:p>
          <w:p>
            <w:pPr>
              <w:pStyle w:val="19"/>
              <w:spacing w:line="216" w:lineRule="exact"/>
              <w:ind w:firstLine="150" w:firstLineChars="100"/>
              <w:rPr>
                <w:color w:val="000000"/>
                <w:sz w:val="15"/>
                <w:szCs w:val="15"/>
              </w:rPr>
            </w:pPr>
            <w:r>
              <w:rPr>
                <w:color w:val="000000"/>
                <w:sz w:val="15"/>
                <w:szCs w:val="15"/>
              </w:rPr>
              <w:t>Amount Claimed but not yet Credited at the End of this Period</w:t>
            </w:r>
          </w:p>
        </w:tc>
        <w:tc>
          <w:tcPr>
            <w:tcW w:w="3163" w:type="dxa"/>
            <w:tcBorders>
              <w:top w:val="single" w:color="auto" w:sz="4" w:space="0"/>
              <w:left w:val="single" w:color="auto" w:sz="4" w:space="0"/>
              <w:bottom w:val="single" w:color="auto" w:sz="4" w:space="0"/>
              <w:right w:val="single" w:color="auto" w:sz="4" w:space="0"/>
            </w:tcBorders>
            <w:vAlign w:val="center"/>
          </w:tcPr>
          <w:p>
            <w:pPr>
              <w:pStyle w:val="19"/>
              <w:jc w:val="right"/>
              <w:rPr>
                <w:sz w:val="15"/>
                <w:szCs w:val="15"/>
              </w:rPr>
            </w:pPr>
            <w:r>
              <w:rPr>
                <w:sz w:val="15"/>
                <w:szCs w:val="1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7" w:type="dxa"/>
            <w:vAlign w:val="center"/>
          </w:tcPr>
          <w:p>
            <w:pPr>
              <w:pStyle w:val="19"/>
              <w:spacing w:line="216" w:lineRule="exact"/>
              <w:jc w:val="center"/>
              <w:rPr>
                <w:color w:val="000000"/>
                <w:sz w:val="15"/>
                <w:szCs w:val="15"/>
              </w:rPr>
            </w:pPr>
            <w:r>
              <w:rPr>
                <w:color w:val="000000"/>
                <w:sz w:val="15"/>
                <w:szCs w:val="15"/>
              </w:rPr>
              <w:t>申请书号</w:t>
            </w:r>
          </w:p>
          <w:p>
            <w:pPr>
              <w:pStyle w:val="19"/>
              <w:spacing w:line="216" w:lineRule="exact"/>
              <w:jc w:val="center"/>
              <w:rPr>
                <w:color w:val="000000"/>
                <w:sz w:val="15"/>
                <w:szCs w:val="15"/>
              </w:rPr>
            </w:pPr>
            <w:r>
              <w:rPr>
                <w:color w:val="000000"/>
                <w:sz w:val="15"/>
                <w:szCs w:val="15"/>
              </w:rPr>
              <w:t>Application No.</w:t>
            </w:r>
          </w:p>
        </w:tc>
        <w:tc>
          <w:tcPr>
            <w:tcW w:w="2520" w:type="dxa"/>
            <w:vAlign w:val="center"/>
          </w:tcPr>
          <w:p>
            <w:pPr>
              <w:pStyle w:val="19"/>
              <w:jc w:val="center"/>
              <w:rPr>
                <w:color w:val="000000"/>
                <w:sz w:val="15"/>
                <w:szCs w:val="15"/>
              </w:rPr>
            </w:pPr>
            <w:r>
              <w:rPr>
                <w:color w:val="000000"/>
                <w:sz w:val="15"/>
                <w:szCs w:val="15"/>
              </w:rPr>
              <w:t>金  额</w:t>
            </w:r>
          </w:p>
          <w:p>
            <w:pPr>
              <w:pStyle w:val="19"/>
              <w:jc w:val="center"/>
              <w:rPr>
                <w:color w:val="000000"/>
                <w:sz w:val="15"/>
                <w:szCs w:val="15"/>
              </w:rPr>
            </w:pPr>
            <w:r>
              <w:rPr>
                <w:color w:val="000000"/>
                <w:sz w:val="15"/>
                <w:szCs w:val="15"/>
              </w:rPr>
              <w:t>Amoun</w:t>
            </w:r>
            <w:r>
              <w:t xml:space="preserve"> </w:t>
            </w:r>
          </w:p>
        </w:tc>
        <w:tc>
          <w:tcPr>
            <w:tcW w:w="3163" w:type="dxa"/>
            <w:vAlign w:val="center"/>
          </w:tcPr>
          <w:p>
            <w:pPr>
              <w:pStyle w:val="19"/>
              <w:spacing w:line="240" w:lineRule="auto"/>
              <w:jc w:val="righ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87" w:type="dxa"/>
            <w:vAlign w:val="center"/>
          </w:tcPr>
          <w:p>
            <w:pPr>
              <w:pStyle w:val="19"/>
              <w:spacing w:line="216" w:lineRule="exact"/>
              <w:jc w:val="center"/>
              <w:rPr>
                <w:color w:val="000000"/>
                <w:sz w:val="15"/>
                <w:szCs w:val="15"/>
              </w:rPr>
            </w:pPr>
          </w:p>
        </w:tc>
        <w:tc>
          <w:tcPr>
            <w:tcW w:w="2520" w:type="dxa"/>
            <w:vAlign w:val="center"/>
          </w:tcPr>
          <w:p>
            <w:pPr>
              <w:pStyle w:val="19"/>
              <w:ind w:right="420"/>
              <w:jc w:val="right"/>
            </w:pPr>
          </w:p>
        </w:tc>
        <w:tc>
          <w:tcPr>
            <w:tcW w:w="3163" w:type="dxa"/>
            <w:vAlign w:val="center"/>
          </w:tcPr>
          <w:p>
            <w:pPr>
              <w:pStyle w:val="19"/>
              <w:spacing w:line="240" w:lineRule="auto"/>
              <w:jc w:val="right"/>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bottom"/>
          </w:tcPr>
          <w:p>
            <w:pPr>
              <w:pStyle w:val="19"/>
              <w:spacing w:line="216" w:lineRule="exact"/>
              <w:rPr>
                <w:color w:val="000000"/>
                <w:sz w:val="15"/>
                <w:szCs w:val="15"/>
              </w:rPr>
            </w:pPr>
            <w:r>
              <w:rPr>
                <w:color w:val="000000"/>
                <w:sz w:val="15"/>
                <w:szCs w:val="15"/>
              </w:rPr>
              <w:t>6. 截至本期期末已支付但尚未申请报账金额</w:t>
            </w:r>
          </w:p>
          <w:p>
            <w:pPr>
              <w:pStyle w:val="19"/>
              <w:spacing w:line="216" w:lineRule="exact"/>
              <w:ind w:firstLine="150" w:firstLineChars="100"/>
              <w:rPr>
                <w:color w:val="000000"/>
                <w:sz w:val="15"/>
                <w:szCs w:val="15"/>
              </w:rPr>
            </w:pPr>
            <w:r>
              <w:rPr>
                <w:color w:val="000000"/>
                <w:sz w:val="15"/>
                <w:szCs w:val="15"/>
              </w:rPr>
              <w:t>Amount Withdrawn but not yet Claimed at the End of this Period</w:t>
            </w:r>
          </w:p>
        </w:tc>
        <w:tc>
          <w:tcPr>
            <w:tcW w:w="3163" w:type="dxa"/>
            <w:vAlign w:val="center"/>
          </w:tcPr>
          <w:p>
            <w:pPr>
              <w:pStyle w:val="19"/>
              <w:jc w:val="right"/>
              <w:rPr>
                <w:sz w:val="15"/>
                <w:szCs w:val="15"/>
              </w:rPr>
            </w:pPr>
            <w:r>
              <w:rPr>
                <w:sz w:val="15"/>
                <w:szCs w:val="15"/>
              </w:rPr>
              <w:t xml:space="preserve">3,540,149.74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bottom"/>
          </w:tcPr>
          <w:p>
            <w:pPr>
              <w:pStyle w:val="19"/>
              <w:spacing w:line="216" w:lineRule="exact"/>
              <w:rPr>
                <w:color w:val="000000"/>
                <w:sz w:val="15"/>
                <w:szCs w:val="15"/>
              </w:rPr>
            </w:pPr>
            <w:r>
              <w:rPr>
                <w:color w:val="000000"/>
                <w:sz w:val="15"/>
                <w:szCs w:val="15"/>
              </w:rPr>
              <w:t xml:space="preserve">7. 服务费累计支出（如未含在5和6栏中）   </w:t>
            </w:r>
          </w:p>
          <w:p>
            <w:pPr>
              <w:pStyle w:val="19"/>
              <w:spacing w:line="216" w:lineRule="exact"/>
              <w:ind w:firstLine="150" w:firstLineChars="100"/>
              <w:rPr>
                <w:color w:val="000000"/>
                <w:sz w:val="15"/>
                <w:szCs w:val="15"/>
              </w:rPr>
            </w:pPr>
            <w:r>
              <w:rPr>
                <w:color w:val="000000"/>
                <w:sz w:val="15"/>
                <w:szCs w:val="15"/>
              </w:rPr>
              <w:t>Cumulative Service Charges (If not Included in Item 5 or 6)</w:t>
            </w:r>
          </w:p>
        </w:tc>
        <w:tc>
          <w:tcPr>
            <w:tcW w:w="3163" w:type="dxa"/>
            <w:vAlign w:val="center"/>
          </w:tcPr>
          <w:p>
            <w:pPr>
              <w:pStyle w:val="19"/>
              <w:jc w:val="right"/>
              <w:rPr>
                <w:sz w:val="15"/>
                <w:szCs w:val="15"/>
              </w:rPr>
            </w:pPr>
            <w:r>
              <w:rPr>
                <w:sz w:val="15"/>
                <w:szCs w:val="15"/>
              </w:rPr>
              <w:t xml:space="preserve">                                                  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bottom"/>
          </w:tcPr>
          <w:p>
            <w:pPr>
              <w:pStyle w:val="19"/>
              <w:spacing w:line="216" w:lineRule="exact"/>
              <w:ind w:firstLine="150" w:firstLineChars="100"/>
              <w:rPr>
                <w:color w:val="000000"/>
                <w:sz w:val="15"/>
                <w:szCs w:val="15"/>
              </w:rPr>
            </w:pPr>
            <w:r>
              <w:rPr>
                <w:color w:val="000000"/>
                <w:sz w:val="15"/>
                <w:szCs w:val="15"/>
              </w:rPr>
              <w:t>减少：</w:t>
            </w:r>
          </w:p>
          <w:p>
            <w:pPr>
              <w:pStyle w:val="19"/>
              <w:spacing w:line="216" w:lineRule="exact"/>
              <w:ind w:firstLine="150" w:firstLineChars="100"/>
              <w:rPr>
                <w:color w:val="000000"/>
                <w:sz w:val="15"/>
                <w:szCs w:val="15"/>
              </w:rPr>
            </w:pPr>
            <w:r>
              <w:rPr>
                <w:color w:val="000000"/>
                <w:sz w:val="15"/>
                <w:szCs w:val="15"/>
              </w:rPr>
              <w:t>Deduct:</w:t>
            </w:r>
          </w:p>
        </w:tc>
        <w:tc>
          <w:tcPr>
            <w:tcW w:w="3163" w:type="dxa"/>
            <w:vAlign w:val="center"/>
          </w:tcPr>
          <w:p>
            <w:pPr>
              <w:pStyle w:val="19"/>
              <w:jc w:val="right"/>
              <w:rPr>
                <w:sz w:val="15"/>
                <w:szCs w:val="15"/>
              </w:rPr>
            </w:pPr>
            <w:r>
              <w:rPr>
                <w:sz w:val="15"/>
                <w:szCs w:val="15"/>
              </w:rPr>
              <w:t xml:space="preserve">                                             5,048.91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bottom"/>
          </w:tcPr>
          <w:p>
            <w:pPr>
              <w:pStyle w:val="19"/>
              <w:spacing w:line="216" w:lineRule="exact"/>
              <w:rPr>
                <w:color w:val="000000"/>
                <w:sz w:val="15"/>
                <w:szCs w:val="15"/>
              </w:rPr>
            </w:pPr>
            <w:r>
              <w:rPr>
                <w:color w:val="000000"/>
                <w:sz w:val="15"/>
                <w:szCs w:val="15"/>
              </w:rPr>
              <w:t>8. 利息收入（存入</w:t>
            </w:r>
            <w:r>
              <w:rPr>
                <w:rFonts w:hint="eastAsia"/>
                <w:color w:val="000000"/>
                <w:sz w:val="15"/>
                <w:szCs w:val="15"/>
              </w:rPr>
              <w:t>指定</w:t>
            </w:r>
            <w:r>
              <w:rPr>
                <w:color w:val="000000"/>
                <w:sz w:val="15"/>
                <w:szCs w:val="15"/>
              </w:rPr>
              <w:t>账户部分）</w:t>
            </w:r>
          </w:p>
          <w:p>
            <w:pPr>
              <w:pStyle w:val="19"/>
              <w:spacing w:line="216" w:lineRule="exact"/>
              <w:ind w:firstLine="150" w:firstLineChars="100"/>
              <w:rPr>
                <w:color w:val="000000"/>
                <w:sz w:val="15"/>
                <w:szCs w:val="15"/>
              </w:rPr>
            </w:pPr>
            <w:r>
              <w:rPr>
                <w:color w:val="000000"/>
                <w:sz w:val="15"/>
                <w:szCs w:val="15"/>
              </w:rPr>
              <w:t xml:space="preserve">Interest Earned (If Included in </w:t>
            </w:r>
            <w:r>
              <w:rPr>
                <w:rFonts w:hint="eastAsia"/>
                <w:color w:val="000000"/>
                <w:sz w:val="15"/>
                <w:szCs w:val="15"/>
              </w:rPr>
              <w:t>Designated</w:t>
            </w:r>
            <w:r>
              <w:rPr>
                <w:color w:val="000000"/>
                <w:sz w:val="15"/>
                <w:szCs w:val="15"/>
              </w:rPr>
              <w:t xml:space="preserve"> Account)</w:t>
            </w:r>
          </w:p>
        </w:tc>
        <w:tc>
          <w:tcPr>
            <w:tcW w:w="3163" w:type="dxa"/>
            <w:vAlign w:val="center"/>
          </w:tcPr>
          <w:p>
            <w:pPr>
              <w:pStyle w:val="19"/>
              <w:jc w:val="right"/>
              <w:rPr>
                <w:sz w:val="15"/>
                <w:szCs w:val="15"/>
              </w:rPr>
            </w:pPr>
            <w:r>
              <w:rPr>
                <w:sz w:val="15"/>
                <w:szCs w:val="15"/>
              </w:rPr>
              <w:t xml:space="preserve">                                             5,048.91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507" w:type="dxa"/>
            <w:gridSpan w:val="2"/>
            <w:vAlign w:val="bottom"/>
          </w:tcPr>
          <w:p>
            <w:pPr>
              <w:pStyle w:val="19"/>
              <w:spacing w:line="216" w:lineRule="exact"/>
              <w:rPr>
                <w:color w:val="000000"/>
                <w:sz w:val="15"/>
                <w:szCs w:val="15"/>
              </w:rPr>
            </w:pPr>
            <w:r>
              <w:rPr>
                <w:color w:val="000000"/>
                <w:sz w:val="15"/>
                <w:szCs w:val="15"/>
              </w:rPr>
              <w:t>9. 本期期末</w:t>
            </w:r>
            <w:r>
              <w:rPr>
                <w:rFonts w:hint="eastAsia"/>
                <w:color w:val="000000"/>
                <w:sz w:val="15"/>
                <w:szCs w:val="15"/>
              </w:rPr>
              <w:t>指定</w:t>
            </w:r>
            <w:r>
              <w:rPr>
                <w:color w:val="000000"/>
                <w:sz w:val="15"/>
                <w:szCs w:val="15"/>
              </w:rPr>
              <w:t>账户首次存款净额</w:t>
            </w:r>
          </w:p>
          <w:p>
            <w:pPr>
              <w:pStyle w:val="19"/>
              <w:spacing w:line="216" w:lineRule="exact"/>
              <w:ind w:left="151" w:leftChars="72"/>
              <w:rPr>
                <w:color w:val="000000"/>
                <w:sz w:val="15"/>
                <w:szCs w:val="15"/>
              </w:rPr>
            </w:pPr>
            <w:r>
              <w:rPr>
                <w:color w:val="000000"/>
                <w:sz w:val="15"/>
                <w:szCs w:val="15"/>
              </w:rPr>
              <w:t xml:space="preserve">Total Advance to the </w:t>
            </w:r>
            <w:r>
              <w:rPr>
                <w:rFonts w:hint="eastAsia"/>
                <w:color w:val="000000"/>
                <w:sz w:val="15"/>
                <w:szCs w:val="15"/>
              </w:rPr>
              <w:t>Designated</w:t>
            </w:r>
            <w:r>
              <w:rPr>
                <w:color w:val="000000"/>
                <w:sz w:val="15"/>
                <w:szCs w:val="15"/>
              </w:rPr>
              <w:t xml:space="preserve"> Account Accounted for at the End of this Period</w:t>
            </w:r>
          </w:p>
        </w:tc>
        <w:tc>
          <w:tcPr>
            <w:tcW w:w="3163" w:type="dxa"/>
            <w:vAlign w:val="center"/>
          </w:tcPr>
          <w:p>
            <w:pPr>
              <w:pStyle w:val="19"/>
              <w:jc w:val="right"/>
              <w:rPr>
                <w:sz w:val="15"/>
                <w:szCs w:val="15"/>
              </w:rPr>
            </w:pPr>
            <w:r>
              <w:rPr>
                <w:sz w:val="15"/>
                <w:szCs w:val="15"/>
              </w:rPr>
              <w:t xml:space="preserve">                                      10,000,000.03</w:t>
            </w:r>
          </w:p>
        </w:tc>
      </w:tr>
    </w:tbl>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tabs>
          <w:tab w:val="left" w:pos="7140"/>
        </w:tabs>
        <w:autoSpaceDE w:val="0"/>
        <w:autoSpaceDN w:val="0"/>
        <w:adjustRightInd w:val="0"/>
        <w:rPr>
          <w:rFonts w:eastAsia="仿宋_GB2312"/>
        </w:rPr>
      </w:pPr>
    </w:p>
    <w:p>
      <w:pPr>
        <w:pStyle w:val="19"/>
        <w:keepNext/>
        <w:autoSpaceDE w:val="0"/>
        <w:autoSpaceDN w:val="0"/>
        <w:adjustRightInd w:val="0"/>
        <w:snapToGrid w:val="0"/>
        <w:spacing w:line="400" w:lineRule="exact"/>
        <w:jc w:val="left"/>
        <w:outlineLvl w:val="1"/>
        <w:rPr>
          <w:rFonts w:eastAsia="仿宋_GB2312"/>
          <w:b/>
          <w:bCs/>
          <w:sz w:val="28"/>
          <w:szCs w:val="30"/>
        </w:rPr>
      </w:pPr>
      <w:bookmarkStart w:id="45" w:name="_Toc454893196"/>
      <w:r>
        <w:rPr>
          <w:rFonts w:eastAsia="仿宋_GB2312"/>
          <w:b/>
          <w:bCs/>
          <w:sz w:val="28"/>
          <w:szCs w:val="30"/>
        </w:rPr>
        <w:t>（五）财务报表附注</w:t>
      </w:r>
      <w:bookmarkEnd w:id="45"/>
    </w:p>
    <w:p>
      <w:pPr>
        <w:pStyle w:val="19"/>
        <w:spacing w:line="400" w:lineRule="exact"/>
        <w:rPr>
          <w:rFonts w:eastAsia="仿宋_GB2312"/>
          <w:b/>
          <w:sz w:val="28"/>
          <w:szCs w:val="28"/>
        </w:rPr>
      </w:pPr>
    </w:p>
    <w:p>
      <w:pPr>
        <w:pStyle w:val="19"/>
        <w:widowControl/>
        <w:snapToGrid w:val="0"/>
        <w:spacing w:line="400" w:lineRule="exact"/>
        <w:jc w:val="center"/>
        <w:rPr>
          <w:rFonts w:eastAsia="仿宋_GB2312"/>
          <w:b/>
          <w:sz w:val="32"/>
          <w:szCs w:val="32"/>
        </w:rPr>
      </w:pPr>
      <w:r>
        <w:rPr>
          <w:rFonts w:eastAsia="仿宋_GB2312"/>
          <w:b/>
          <w:sz w:val="32"/>
          <w:szCs w:val="32"/>
        </w:rPr>
        <w:t>财务报表附注</w:t>
      </w:r>
    </w:p>
    <w:p>
      <w:pPr>
        <w:pStyle w:val="19"/>
        <w:widowControl/>
        <w:snapToGrid w:val="0"/>
        <w:spacing w:line="400" w:lineRule="exact"/>
        <w:jc w:val="center"/>
        <w:rPr>
          <w:rFonts w:eastAsia="仿宋_GB2312"/>
          <w:b/>
          <w:sz w:val="32"/>
          <w:szCs w:val="32"/>
        </w:rPr>
      </w:pPr>
    </w:p>
    <w:p>
      <w:pPr>
        <w:pStyle w:val="19"/>
        <w:adjustRightInd w:val="0"/>
        <w:snapToGrid w:val="0"/>
        <w:spacing w:line="400" w:lineRule="exact"/>
        <w:ind w:firstLine="560" w:firstLineChars="200"/>
        <w:rPr>
          <w:rFonts w:eastAsia="仿宋_GB2312"/>
          <w:sz w:val="28"/>
          <w:szCs w:val="28"/>
        </w:rPr>
      </w:pPr>
      <w:r>
        <w:rPr>
          <w:rFonts w:hint="eastAsia" w:eastAsia="仿宋_GB2312"/>
          <w:sz w:val="28"/>
          <w:szCs w:val="28"/>
        </w:rPr>
        <w:t>1.</w:t>
      </w:r>
      <w:r>
        <w:rPr>
          <w:rFonts w:eastAsia="仿宋_GB2312"/>
          <w:sz w:val="28"/>
          <w:szCs w:val="28"/>
        </w:rPr>
        <w:t>项目概况</w:t>
      </w:r>
    </w:p>
    <w:p>
      <w:pPr>
        <w:pStyle w:val="19"/>
        <w:snapToGrid w:val="0"/>
        <w:spacing w:line="400" w:lineRule="exact"/>
        <w:ind w:firstLine="560" w:firstLineChars="200"/>
        <w:rPr>
          <w:rFonts w:eastAsia="仿宋_GB2312"/>
          <w:sz w:val="28"/>
          <w:szCs w:val="28"/>
        </w:rPr>
      </w:pPr>
      <w:r>
        <w:rPr>
          <w:rFonts w:eastAsia="仿宋_GB2312"/>
          <w:sz w:val="28"/>
          <w:szCs w:val="28"/>
        </w:rPr>
        <w:t>世界银行贷款川渝合作（广安）示范区基础设施建设项目贷款号为8472－CN</w:t>
      </w:r>
      <w:r>
        <w:rPr>
          <w:rFonts w:hint="eastAsia" w:eastAsia="仿宋_GB2312"/>
          <w:sz w:val="28"/>
          <w:szCs w:val="28"/>
        </w:rPr>
        <w:t>。</w:t>
      </w:r>
      <w:r>
        <w:rPr>
          <w:rFonts w:eastAsia="仿宋_GB2312"/>
          <w:sz w:val="28"/>
          <w:szCs w:val="28"/>
        </w:rPr>
        <w:t>旨在通过该项目实施改善邻水县和前锋区基础设施状况，促进投资，更好地明确邻水县和前锋区在重庆都市连绵区的增长前景，提升其宜居、就业和宜商的城市魅力</w:t>
      </w:r>
      <w:r>
        <w:rPr>
          <w:rFonts w:hint="eastAsia" w:eastAsia="仿宋_GB2312"/>
          <w:sz w:val="28"/>
          <w:szCs w:val="28"/>
        </w:rPr>
        <w:t>。</w:t>
      </w:r>
      <w:r>
        <w:rPr>
          <w:rFonts w:eastAsia="仿宋_GB2312"/>
          <w:sz w:val="28"/>
          <w:szCs w:val="28"/>
        </w:rPr>
        <w:t>建设内容主要包括新建道路管网、景观改造、污水处理厂等基础设施，邻水县公共实训中心技术援助等“软件”内容</w:t>
      </w:r>
      <w:r>
        <w:rPr>
          <w:rFonts w:hint="eastAsia" w:eastAsia="仿宋_GB2312"/>
          <w:sz w:val="28"/>
          <w:szCs w:val="28"/>
        </w:rPr>
        <w:t>。</w:t>
      </w:r>
      <w:r>
        <w:rPr>
          <w:rFonts w:eastAsia="仿宋_GB2312"/>
          <w:sz w:val="28"/>
          <w:szCs w:val="28"/>
        </w:rPr>
        <w:t>项目估算总投资约为人民币12亿元，其中，利用世界银行贷款1亿美元（邻水县和前锋区子项目分别为6000万美元和4000万美元），其余为国内配套资金支持；项目建设实施期为60个月，即从2015年9月至2020年9月；项目的关账日期为2020年9月30日。本项目包括土建工程、货物采购、咨询服务3大类共18个合同包，其中土建工程合同7个、货物采购合同3个、咨询服务合同8个。</w:t>
      </w:r>
    </w:p>
    <w:p>
      <w:pPr>
        <w:pStyle w:val="19"/>
        <w:adjustRightInd w:val="0"/>
        <w:snapToGrid w:val="0"/>
        <w:spacing w:before="156" w:beforeLines="50" w:line="400" w:lineRule="exact"/>
        <w:ind w:firstLine="560" w:firstLineChars="200"/>
        <w:rPr>
          <w:rFonts w:eastAsia="仿宋_GB2312"/>
          <w:color w:val="000000"/>
          <w:sz w:val="28"/>
          <w:szCs w:val="28"/>
        </w:rPr>
      </w:pPr>
      <w:r>
        <w:rPr>
          <w:rFonts w:eastAsia="仿宋_GB2312"/>
          <w:sz w:val="28"/>
          <w:szCs w:val="28"/>
        </w:rPr>
        <w:t>截至201</w:t>
      </w:r>
      <w:r>
        <w:rPr>
          <w:rFonts w:hint="eastAsia" w:eastAsia="仿宋_GB2312"/>
          <w:sz w:val="28"/>
          <w:szCs w:val="28"/>
        </w:rPr>
        <w:t>9</w:t>
      </w:r>
      <w:r>
        <w:rPr>
          <w:rFonts w:eastAsia="仿宋_GB2312"/>
          <w:sz w:val="28"/>
          <w:szCs w:val="28"/>
        </w:rPr>
        <w:t>年12月31日，世界银行贷款川渝合作（广安）示范区基础设施建设项目已全部完成18个合同包的采购</w:t>
      </w:r>
      <w:r>
        <w:rPr>
          <w:rFonts w:hint="eastAsia" w:eastAsia="仿宋_GB2312"/>
          <w:sz w:val="28"/>
          <w:szCs w:val="28"/>
        </w:rPr>
        <w:t>。其中</w:t>
      </w:r>
      <w:r>
        <w:rPr>
          <w:rFonts w:eastAsia="仿宋_GB2312"/>
          <w:sz w:val="28"/>
          <w:szCs w:val="28"/>
        </w:rPr>
        <w:t>：</w:t>
      </w:r>
      <w:r>
        <w:rPr>
          <w:rFonts w:eastAsia="仿宋_GB2312"/>
          <w:color w:val="000000"/>
          <w:sz w:val="28"/>
          <w:szCs w:val="28"/>
        </w:rPr>
        <w:t>前锋区截污干管工程（QF-1）</w:t>
      </w:r>
      <w:r>
        <w:rPr>
          <w:rFonts w:hint="eastAsia" w:eastAsia="仿宋_GB2312"/>
          <w:color w:val="000000"/>
          <w:sz w:val="28"/>
          <w:szCs w:val="28"/>
        </w:rPr>
        <w:t>、</w:t>
      </w:r>
      <w:r>
        <w:rPr>
          <w:rFonts w:eastAsia="仿宋_GB2312"/>
          <w:color w:val="000000"/>
          <w:sz w:val="28"/>
          <w:szCs w:val="28"/>
        </w:rPr>
        <w:t>前锋区景观改造工程(QF-3)，</w:t>
      </w:r>
      <w:r>
        <w:rPr>
          <w:rFonts w:hint="eastAsia" w:eastAsia="仿宋_GB2312"/>
          <w:color w:val="000000"/>
          <w:sz w:val="28"/>
          <w:szCs w:val="28"/>
        </w:rPr>
        <w:t>目前已竣工验收；</w:t>
      </w:r>
      <w:r>
        <w:rPr>
          <w:rFonts w:eastAsia="仿宋_GB2312"/>
          <w:color w:val="000000"/>
          <w:sz w:val="28"/>
          <w:szCs w:val="28"/>
        </w:rPr>
        <w:t>邻水县公共实训中心机械电子类设备购买（LS-4）</w:t>
      </w:r>
      <w:r>
        <w:rPr>
          <w:rFonts w:hint="eastAsia" w:eastAsia="仿宋_GB2312"/>
          <w:color w:val="000000"/>
          <w:sz w:val="28"/>
          <w:szCs w:val="28"/>
        </w:rPr>
        <w:t>、</w:t>
      </w:r>
      <w:r>
        <w:rPr>
          <w:rFonts w:eastAsia="仿宋_GB2312"/>
          <w:color w:val="000000"/>
          <w:sz w:val="28"/>
          <w:szCs w:val="28"/>
        </w:rPr>
        <w:t>邻水县公共实训中心财经商贸类设备购买（LS-5）</w:t>
      </w:r>
      <w:r>
        <w:rPr>
          <w:rFonts w:hint="eastAsia" w:eastAsia="仿宋_GB2312"/>
          <w:color w:val="000000"/>
          <w:sz w:val="28"/>
          <w:szCs w:val="28"/>
        </w:rPr>
        <w:t>、</w:t>
      </w:r>
      <w:r>
        <w:rPr>
          <w:rFonts w:eastAsia="仿宋_GB2312"/>
          <w:color w:val="000000"/>
          <w:sz w:val="28"/>
          <w:szCs w:val="28"/>
        </w:rPr>
        <w:t>邻水县公共实训中心汽车维修类设备购买（LS-6）</w:t>
      </w:r>
      <w:r>
        <w:rPr>
          <w:rFonts w:hint="eastAsia" w:eastAsia="仿宋_GB2312"/>
          <w:color w:val="000000"/>
          <w:sz w:val="28"/>
          <w:szCs w:val="28"/>
        </w:rPr>
        <w:t>，目前设备已全部到位。</w:t>
      </w:r>
      <w:r>
        <w:rPr>
          <w:rFonts w:eastAsia="仿宋_GB2312"/>
          <w:color w:val="000000"/>
          <w:sz w:val="28"/>
          <w:szCs w:val="28"/>
        </w:rPr>
        <w:t>前锋区工业大道土建工程（QF-2)</w:t>
      </w:r>
      <w:r>
        <w:rPr>
          <w:rFonts w:hint="eastAsia" w:eastAsia="仿宋_GB2312"/>
          <w:color w:val="000000"/>
          <w:sz w:val="28"/>
          <w:szCs w:val="28"/>
        </w:rPr>
        <w:t>，</w:t>
      </w:r>
      <w:r>
        <w:rPr>
          <w:rFonts w:eastAsia="仿宋_GB2312"/>
          <w:color w:val="000000"/>
          <w:sz w:val="28"/>
          <w:szCs w:val="28"/>
        </w:rPr>
        <w:t>前锋区滨河南路土建工程（QF-4a）</w:t>
      </w:r>
      <w:r>
        <w:rPr>
          <w:rFonts w:hint="eastAsia" w:eastAsia="仿宋_GB2312"/>
          <w:color w:val="000000"/>
          <w:sz w:val="28"/>
          <w:szCs w:val="28"/>
        </w:rPr>
        <w:t>，</w:t>
      </w:r>
      <w:r>
        <w:rPr>
          <w:rFonts w:eastAsia="仿宋_GB2312"/>
          <w:color w:val="000000"/>
          <w:sz w:val="28"/>
          <w:szCs w:val="28"/>
        </w:rPr>
        <w:t>邻水县截污干管工程、污水处理厂工程、进厂管道及尾水排放工程（LS-1），邻水县二三四五号道路施工土建工程（LS-2），邻水县一号道路施工土建工程（LS-3）</w:t>
      </w:r>
      <w:r>
        <w:rPr>
          <w:rFonts w:hint="eastAsia" w:eastAsia="仿宋_GB2312"/>
          <w:color w:val="000000"/>
          <w:sz w:val="28"/>
          <w:szCs w:val="28"/>
        </w:rPr>
        <w:t>，</w:t>
      </w:r>
      <w:r>
        <w:rPr>
          <w:rFonts w:eastAsia="仿宋_GB2312"/>
          <w:color w:val="000000"/>
          <w:sz w:val="28"/>
          <w:szCs w:val="28"/>
        </w:rPr>
        <w:t>城市资产管理咨询（ZX-1）</w:t>
      </w:r>
      <w:r>
        <w:rPr>
          <w:rFonts w:hint="eastAsia" w:eastAsia="仿宋_GB2312"/>
          <w:color w:val="000000"/>
          <w:sz w:val="28"/>
          <w:szCs w:val="28"/>
        </w:rPr>
        <w:t>，</w:t>
      </w:r>
      <w:r>
        <w:rPr>
          <w:rFonts w:eastAsia="仿宋_GB2312"/>
          <w:color w:val="000000"/>
          <w:sz w:val="28"/>
          <w:szCs w:val="28"/>
        </w:rPr>
        <w:t>总体城市和工业增长的战略性环境和社会影响评价（ZX-2）</w:t>
      </w:r>
      <w:r>
        <w:rPr>
          <w:rFonts w:hint="eastAsia" w:eastAsia="仿宋_GB2312"/>
          <w:color w:val="000000"/>
          <w:sz w:val="28"/>
          <w:szCs w:val="28"/>
        </w:rPr>
        <w:t>，</w:t>
      </w:r>
      <w:r>
        <w:rPr>
          <w:rFonts w:eastAsia="仿宋_GB2312"/>
          <w:color w:val="000000"/>
          <w:sz w:val="28"/>
          <w:szCs w:val="28"/>
        </w:rPr>
        <w:t>邻水县产业价值链分析（ZX-3）</w:t>
      </w:r>
      <w:r>
        <w:rPr>
          <w:rFonts w:hint="eastAsia" w:eastAsia="仿宋_GB2312"/>
          <w:color w:val="000000"/>
          <w:sz w:val="28"/>
          <w:szCs w:val="28"/>
        </w:rPr>
        <w:t>，</w:t>
      </w:r>
      <w:r>
        <w:rPr>
          <w:rFonts w:eastAsia="仿宋_GB2312"/>
          <w:color w:val="000000"/>
          <w:sz w:val="28"/>
          <w:szCs w:val="28"/>
        </w:rPr>
        <w:t>项目管理和施工监理咨询（ZX-4）</w:t>
      </w:r>
      <w:r>
        <w:rPr>
          <w:rFonts w:hint="eastAsia" w:eastAsia="仿宋_GB2312"/>
          <w:color w:val="000000"/>
          <w:sz w:val="28"/>
          <w:szCs w:val="28"/>
        </w:rPr>
        <w:t>，</w:t>
      </w:r>
      <w:r>
        <w:rPr>
          <w:rFonts w:eastAsia="仿宋_GB2312"/>
          <w:color w:val="000000"/>
          <w:sz w:val="28"/>
          <w:szCs w:val="28"/>
        </w:rPr>
        <w:t>移民安置外部监测（ZX-5）</w:t>
      </w:r>
      <w:r>
        <w:rPr>
          <w:rFonts w:hint="eastAsia" w:eastAsia="仿宋_GB2312"/>
          <w:color w:val="000000"/>
          <w:sz w:val="28"/>
          <w:szCs w:val="28"/>
        </w:rPr>
        <w:t>，</w:t>
      </w:r>
      <w:r>
        <w:rPr>
          <w:rFonts w:eastAsia="仿宋_GB2312"/>
          <w:color w:val="000000"/>
          <w:sz w:val="28"/>
          <w:szCs w:val="28"/>
        </w:rPr>
        <w:t>环境外部监测（ZX-6）</w:t>
      </w:r>
      <w:r>
        <w:rPr>
          <w:rFonts w:hint="eastAsia" w:eastAsia="仿宋_GB2312"/>
          <w:color w:val="000000"/>
          <w:sz w:val="28"/>
          <w:szCs w:val="28"/>
        </w:rPr>
        <w:t>，</w:t>
      </w:r>
      <w:r>
        <w:rPr>
          <w:rFonts w:eastAsia="仿宋_GB2312"/>
          <w:color w:val="000000"/>
          <w:sz w:val="28"/>
          <w:szCs w:val="28"/>
        </w:rPr>
        <w:t>邻水县用工需求调研（ZX-7）</w:t>
      </w:r>
      <w:r>
        <w:rPr>
          <w:rFonts w:hint="eastAsia" w:eastAsia="仿宋_GB2312"/>
          <w:color w:val="000000"/>
          <w:sz w:val="28"/>
          <w:szCs w:val="28"/>
        </w:rPr>
        <w:t>，</w:t>
      </w:r>
      <w:r>
        <w:rPr>
          <w:rFonts w:eastAsia="仿宋_GB2312"/>
          <w:color w:val="000000"/>
          <w:sz w:val="28"/>
          <w:szCs w:val="28"/>
        </w:rPr>
        <w:t>邻水职中培训课程教材开发咨询服务（ZX-8）</w:t>
      </w:r>
      <w:r>
        <w:rPr>
          <w:rFonts w:hint="eastAsia" w:eastAsia="仿宋_GB2312"/>
          <w:color w:val="000000"/>
          <w:sz w:val="28"/>
          <w:szCs w:val="28"/>
        </w:rPr>
        <w:t>等土建工程和</w:t>
      </w:r>
      <w:r>
        <w:rPr>
          <w:rFonts w:eastAsia="仿宋_GB2312"/>
          <w:color w:val="000000"/>
          <w:sz w:val="28"/>
          <w:szCs w:val="28"/>
        </w:rPr>
        <w:t>咨询服务合同</w:t>
      </w:r>
      <w:r>
        <w:rPr>
          <w:rFonts w:hint="eastAsia" w:eastAsia="仿宋_GB2312"/>
          <w:color w:val="000000"/>
          <w:sz w:val="28"/>
          <w:szCs w:val="28"/>
        </w:rPr>
        <w:t>正在推进过程中</w:t>
      </w:r>
      <w:r>
        <w:rPr>
          <w:rFonts w:eastAsia="仿宋_GB2312"/>
          <w:color w:val="000000"/>
          <w:sz w:val="28"/>
          <w:szCs w:val="28"/>
        </w:rPr>
        <w:t>。</w:t>
      </w:r>
    </w:p>
    <w:p>
      <w:pPr>
        <w:pStyle w:val="19"/>
        <w:adjustRightInd/>
        <w:snapToGrid/>
        <w:spacing w:line="400" w:lineRule="exact"/>
        <w:ind w:firstLine="0" w:firstLineChars="0"/>
        <w:rPr>
          <w:rFonts w:eastAsia="仿宋_GB2312"/>
          <w:color w:val="000000"/>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2.财务报表编制范围</w:t>
      </w: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本财务报表的编制范围包括广安市世行办、前锋区和邻水县子项目业主单位财务报表及四川省财政厅指定账户报表。</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3.主要会计政策</w:t>
      </w: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3.1本项目财务报表按照财政部《世界银行贷款项目会计核算办法》（财际字〔2000〕13号）的要求编制。</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3.2会计核算年度采用公历年制，即公历每年1月1日至12月31日。</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3.3本项目会计核算以 “权责发生制”作为记账原则，采用借贷复式记账法记账，以人民币为记账本位币。</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3.4按照中国人民银行2019年12月31日汇率，即USD1=人民币6.9762元计算。</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4.报表科目说明</w:t>
      </w: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4.1项目支出</w:t>
      </w:r>
    </w:p>
    <w:p>
      <w:pPr>
        <w:pStyle w:val="19"/>
        <w:spacing w:line="400" w:lineRule="exact"/>
        <w:rPr>
          <w:rFonts w:eastAsia="仿宋_GB2312"/>
          <w:sz w:val="28"/>
          <w:szCs w:val="28"/>
        </w:rPr>
      </w:pPr>
      <w:r>
        <w:rPr>
          <w:rFonts w:hint="eastAsia" w:eastAsia="仿宋_GB2312"/>
          <w:sz w:val="28"/>
          <w:szCs w:val="28"/>
        </w:rPr>
        <w:t xml:space="preserve">    </w:t>
      </w:r>
      <w:r>
        <w:rPr>
          <w:rFonts w:eastAsia="仿宋_GB2312"/>
          <w:sz w:val="28"/>
          <w:szCs w:val="28"/>
        </w:rPr>
        <w:t>截至201</w:t>
      </w:r>
      <w:r>
        <w:rPr>
          <w:rFonts w:hint="eastAsia" w:eastAsia="仿宋_GB2312"/>
          <w:sz w:val="28"/>
          <w:szCs w:val="28"/>
        </w:rPr>
        <w:t>9</w:t>
      </w:r>
      <w:r>
        <w:rPr>
          <w:rFonts w:eastAsia="仿宋_GB2312"/>
          <w:sz w:val="28"/>
          <w:szCs w:val="28"/>
        </w:rPr>
        <w:t>年12月31日</w:t>
      </w:r>
      <w:r>
        <w:rPr>
          <w:rFonts w:hint="eastAsia" w:eastAsia="仿宋_GB2312"/>
          <w:sz w:val="28"/>
          <w:szCs w:val="28"/>
        </w:rPr>
        <w:t>，</w:t>
      </w:r>
      <w:r>
        <w:rPr>
          <w:rFonts w:eastAsia="仿宋_GB2312"/>
          <w:sz w:val="28"/>
          <w:szCs w:val="28"/>
        </w:rPr>
        <w:t>项目累计支出人民币402,486,216.17元，其中：前锋区子项目</w:t>
      </w:r>
      <w:r>
        <w:rPr>
          <w:rFonts w:hint="eastAsia" w:eastAsia="仿宋_GB2312"/>
          <w:sz w:val="28"/>
          <w:szCs w:val="28"/>
          <w:lang w:eastAsia="zh-CN"/>
        </w:rPr>
        <w:t>支出</w:t>
      </w:r>
      <w:r>
        <w:rPr>
          <w:rFonts w:eastAsia="仿宋_GB2312"/>
          <w:sz w:val="28"/>
          <w:szCs w:val="28"/>
        </w:rPr>
        <w:t>人民币137,590,116.85元；邻水县子项目</w:t>
      </w:r>
      <w:r>
        <w:rPr>
          <w:rFonts w:hint="eastAsia" w:eastAsia="仿宋_GB2312"/>
          <w:sz w:val="28"/>
          <w:szCs w:val="28"/>
          <w:lang w:eastAsia="zh-CN"/>
        </w:rPr>
        <w:t>支出</w:t>
      </w:r>
      <w:r>
        <w:rPr>
          <w:rFonts w:eastAsia="仿宋_GB2312"/>
          <w:sz w:val="28"/>
          <w:szCs w:val="28"/>
        </w:rPr>
        <w:t>人民币260,931,604.69元；广安市项目办</w:t>
      </w:r>
      <w:r>
        <w:rPr>
          <w:rFonts w:hint="eastAsia" w:eastAsia="仿宋_GB2312"/>
          <w:sz w:val="28"/>
          <w:szCs w:val="28"/>
          <w:lang w:eastAsia="zh-CN"/>
        </w:rPr>
        <w:t>支出</w:t>
      </w:r>
      <w:r>
        <w:rPr>
          <w:rFonts w:eastAsia="仿宋_GB2312"/>
          <w:sz w:val="28"/>
          <w:szCs w:val="28"/>
        </w:rPr>
        <w:t>人民币3</w:t>
      </w:r>
      <w:r>
        <w:rPr>
          <w:rFonts w:hint="eastAsia" w:eastAsia="仿宋_GB2312"/>
          <w:sz w:val="28"/>
          <w:szCs w:val="28"/>
        </w:rPr>
        <w:t>,</w:t>
      </w:r>
      <w:r>
        <w:rPr>
          <w:rFonts w:eastAsia="仿宋_GB2312"/>
          <w:sz w:val="28"/>
          <w:szCs w:val="28"/>
        </w:rPr>
        <w:t>964</w:t>
      </w:r>
      <w:r>
        <w:rPr>
          <w:rFonts w:hint="eastAsia" w:eastAsia="仿宋_GB2312"/>
          <w:sz w:val="28"/>
          <w:szCs w:val="28"/>
        </w:rPr>
        <w:t>,</w:t>
      </w:r>
      <w:r>
        <w:rPr>
          <w:rFonts w:eastAsia="仿宋_GB2312"/>
          <w:sz w:val="28"/>
          <w:szCs w:val="28"/>
        </w:rPr>
        <w:t>494.63元</w:t>
      </w:r>
      <w:r>
        <w:rPr>
          <w:rFonts w:hint="eastAsia" w:eastAsia="仿宋_GB2312"/>
          <w:sz w:val="28"/>
          <w:szCs w:val="28"/>
        </w:rPr>
        <w:t>。</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4.2货币资金</w:t>
      </w:r>
    </w:p>
    <w:p>
      <w:pPr>
        <w:pStyle w:val="19"/>
        <w:spacing w:line="400" w:lineRule="exact"/>
        <w:rPr>
          <w:rFonts w:eastAsia="仿宋_GB2312"/>
          <w:sz w:val="28"/>
          <w:szCs w:val="28"/>
        </w:rPr>
      </w:pPr>
      <w:r>
        <w:rPr>
          <w:rFonts w:hint="eastAsia" w:eastAsia="仿宋_GB2312"/>
          <w:sz w:val="28"/>
          <w:szCs w:val="28"/>
        </w:rPr>
        <w:t xml:space="preserve">    </w:t>
      </w:r>
      <w:r>
        <w:rPr>
          <w:rFonts w:eastAsia="仿宋_GB2312"/>
          <w:sz w:val="28"/>
          <w:szCs w:val="28"/>
        </w:rPr>
        <w:t>201</w:t>
      </w:r>
      <w:r>
        <w:rPr>
          <w:rFonts w:hint="eastAsia" w:eastAsia="仿宋_GB2312"/>
          <w:sz w:val="28"/>
          <w:szCs w:val="28"/>
        </w:rPr>
        <w:t>9</w:t>
      </w:r>
      <w:r>
        <w:rPr>
          <w:rFonts w:eastAsia="仿宋_GB2312"/>
          <w:sz w:val="28"/>
          <w:szCs w:val="28"/>
        </w:rPr>
        <w:t>年12月31日余额为人民币49</w:t>
      </w:r>
      <w:r>
        <w:rPr>
          <w:rFonts w:hint="eastAsia" w:eastAsia="仿宋_GB2312"/>
          <w:sz w:val="28"/>
          <w:szCs w:val="28"/>
        </w:rPr>
        <w:t>,</w:t>
      </w:r>
      <w:r>
        <w:rPr>
          <w:rFonts w:eastAsia="仿宋_GB2312"/>
          <w:sz w:val="28"/>
          <w:szCs w:val="28"/>
        </w:rPr>
        <w:t>757</w:t>
      </w:r>
      <w:r>
        <w:rPr>
          <w:rFonts w:hint="eastAsia" w:eastAsia="仿宋_GB2312"/>
          <w:sz w:val="28"/>
          <w:szCs w:val="28"/>
        </w:rPr>
        <w:t>,</w:t>
      </w:r>
      <w:r>
        <w:rPr>
          <w:rFonts w:eastAsia="仿宋_GB2312"/>
          <w:sz w:val="28"/>
          <w:szCs w:val="28"/>
        </w:rPr>
        <w:t>547.84元，其中：专用账户存款6</w:t>
      </w:r>
      <w:r>
        <w:rPr>
          <w:rFonts w:hint="eastAsia" w:eastAsia="仿宋_GB2312"/>
          <w:sz w:val="28"/>
          <w:szCs w:val="28"/>
        </w:rPr>
        <w:t>,</w:t>
      </w:r>
      <w:r>
        <w:rPr>
          <w:rFonts w:eastAsia="仿宋_GB2312"/>
          <w:sz w:val="28"/>
          <w:szCs w:val="28"/>
        </w:rPr>
        <w:t>464</w:t>
      </w:r>
      <w:r>
        <w:rPr>
          <w:rFonts w:hint="eastAsia" w:eastAsia="仿宋_GB2312"/>
          <w:sz w:val="28"/>
          <w:szCs w:val="28"/>
        </w:rPr>
        <w:t>,</w:t>
      </w:r>
      <w:r>
        <w:rPr>
          <w:rFonts w:eastAsia="仿宋_GB2312"/>
          <w:sz w:val="28"/>
          <w:szCs w:val="28"/>
        </w:rPr>
        <w:t>809.2</w:t>
      </w:r>
      <w:r>
        <w:rPr>
          <w:rFonts w:hint="eastAsia" w:eastAsia="仿宋_GB2312"/>
          <w:sz w:val="28"/>
          <w:szCs w:val="28"/>
        </w:rPr>
        <w:t>0</w:t>
      </w:r>
      <w:r>
        <w:rPr>
          <w:rFonts w:eastAsia="仿宋_GB2312"/>
          <w:sz w:val="28"/>
          <w:szCs w:val="28"/>
        </w:rPr>
        <w:t>美元，折合人民币45</w:t>
      </w:r>
      <w:r>
        <w:rPr>
          <w:rFonts w:hint="eastAsia" w:eastAsia="仿宋_GB2312"/>
          <w:sz w:val="28"/>
          <w:szCs w:val="28"/>
        </w:rPr>
        <w:t>,</w:t>
      </w:r>
      <w:r>
        <w:rPr>
          <w:rFonts w:eastAsia="仿宋_GB2312"/>
          <w:sz w:val="28"/>
          <w:szCs w:val="28"/>
        </w:rPr>
        <w:t>099</w:t>
      </w:r>
      <w:r>
        <w:rPr>
          <w:rFonts w:hint="eastAsia" w:eastAsia="仿宋_GB2312"/>
          <w:sz w:val="28"/>
          <w:szCs w:val="28"/>
        </w:rPr>
        <w:t>,</w:t>
      </w:r>
      <w:r>
        <w:rPr>
          <w:rFonts w:eastAsia="仿宋_GB2312"/>
          <w:sz w:val="28"/>
          <w:szCs w:val="28"/>
        </w:rPr>
        <w:t>801.94 元。</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4.3预付款及应收款</w:t>
      </w:r>
    </w:p>
    <w:p>
      <w:pPr>
        <w:pStyle w:val="19"/>
        <w:spacing w:line="400" w:lineRule="exact"/>
        <w:rPr>
          <w:rFonts w:eastAsia="仿宋_GB2312"/>
          <w:sz w:val="28"/>
          <w:szCs w:val="28"/>
        </w:rPr>
      </w:pPr>
      <w:r>
        <w:rPr>
          <w:rFonts w:hint="eastAsia" w:eastAsia="仿宋_GB2312"/>
          <w:sz w:val="28"/>
          <w:szCs w:val="28"/>
        </w:rPr>
        <w:t xml:space="preserve">    </w:t>
      </w:r>
      <w:r>
        <w:rPr>
          <w:rFonts w:eastAsia="仿宋_GB2312"/>
          <w:sz w:val="28"/>
          <w:szCs w:val="28"/>
        </w:rPr>
        <w:t>201</w:t>
      </w:r>
      <w:r>
        <w:rPr>
          <w:rFonts w:hint="eastAsia" w:eastAsia="仿宋_GB2312"/>
          <w:sz w:val="28"/>
          <w:szCs w:val="28"/>
        </w:rPr>
        <w:t>9</w:t>
      </w:r>
      <w:r>
        <w:rPr>
          <w:rFonts w:eastAsia="仿宋_GB2312"/>
          <w:sz w:val="28"/>
          <w:szCs w:val="28"/>
        </w:rPr>
        <w:t>年12月31日余额为人民币17,709,842.62元，其中：前锋区子项目人民币6,091,889.68元，邻水县子项目人民币11</w:t>
      </w:r>
      <w:r>
        <w:rPr>
          <w:rFonts w:hint="eastAsia" w:eastAsia="仿宋_GB2312"/>
          <w:sz w:val="28"/>
          <w:szCs w:val="28"/>
        </w:rPr>
        <w:t>,</w:t>
      </w:r>
      <w:r>
        <w:rPr>
          <w:rFonts w:eastAsia="仿宋_GB2312"/>
          <w:sz w:val="28"/>
          <w:szCs w:val="28"/>
        </w:rPr>
        <w:t>617</w:t>
      </w:r>
      <w:r>
        <w:rPr>
          <w:rFonts w:hint="eastAsia" w:eastAsia="仿宋_GB2312"/>
          <w:sz w:val="28"/>
          <w:szCs w:val="28"/>
        </w:rPr>
        <w:t>,</w:t>
      </w:r>
      <w:r>
        <w:rPr>
          <w:rFonts w:eastAsia="仿宋_GB2312"/>
          <w:sz w:val="28"/>
          <w:szCs w:val="28"/>
        </w:rPr>
        <w:t>952.94元。</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 xml:space="preserve">4.4应付款 </w:t>
      </w:r>
    </w:p>
    <w:p>
      <w:pPr>
        <w:pStyle w:val="19"/>
        <w:spacing w:line="400" w:lineRule="exact"/>
        <w:rPr>
          <w:rFonts w:eastAsia="仿宋_GB2312"/>
          <w:sz w:val="28"/>
          <w:szCs w:val="28"/>
        </w:rPr>
      </w:pPr>
      <w:r>
        <w:rPr>
          <w:rFonts w:hint="eastAsia" w:eastAsia="仿宋_GB2312"/>
          <w:sz w:val="28"/>
          <w:szCs w:val="28"/>
        </w:rPr>
        <w:t xml:space="preserve">    </w:t>
      </w:r>
      <w:r>
        <w:rPr>
          <w:rFonts w:eastAsia="仿宋_GB2312"/>
          <w:sz w:val="28"/>
          <w:szCs w:val="28"/>
        </w:rPr>
        <w:t>201</w:t>
      </w:r>
      <w:r>
        <w:rPr>
          <w:rFonts w:hint="eastAsia" w:eastAsia="仿宋_GB2312"/>
          <w:sz w:val="28"/>
          <w:szCs w:val="28"/>
        </w:rPr>
        <w:t>9</w:t>
      </w:r>
      <w:r>
        <w:rPr>
          <w:rFonts w:eastAsia="仿宋_GB2312"/>
          <w:sz w:val="28"/>
          <w:szCs w:val="28"/>
        </w:rPr>
        <w:t>年12月31日余额</w:t>
      </w:r>
      <w:r>
        <w:rPr>
          <w:rFonts w:hint="eastAsia" w:eastAsia="仿宋_GB2312"/>
          <w:sz w:val="28"/>
          <w:szCs w:val="28"/>
        </w:rPr>
        <w:t>为</w:t>
      </w:r>
      <w:r>
        <w:rPr>
          <w:rFonts w:eastAsia="仿宋_GB2312"/>
          <w:sz w:val="28"/>
          <w:szCs w:val="28"/>
        </w:rPr>
        <w:t>人民币42,754,041.85元，其中：前锋区子项目21,567,909.59元，邻水县子项目21,067,632.26元，广安市项目办118,500.00 元。</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4.5留成收入</w:t>
      </w:r>
    </w:p>
    <w:p>
      <w:pPr>
        <w:pStyle w:val="19"/>
        <w:spacing w:line="400" w:lineRule="exact"/>
        <w:rPr>
          <w:rFonts w:eastAsia="仿宋_GB2312"/>
          <w:sz w:val="28"/>
          <w:szCs w:val="28"/>
        </w:rPr>
      </w:pPr>
      <w:r>
        <w:rPr>
          <w:rFonts w:hint="eastAsia" w:eastAsia="仿宋_GB2312"/>
          <w:sz w:val="28"/>
          <w:szCs w:val="28"/>
        </w:rPr>
        <w:t xml:space="preserve">    </w:t>
      </w:r>
      <w:r>
        <w:rPr>
          <w:rFonts w:eastAsia="仿宋_GB2312"/>
          <w:sz w:val="28"/>
          <w:szCs w:val="28"/>
        </w:rPr>
        <w:t>201</w:t>
      </w:r>
      <w:r>
        <w:rPr>
          <w:rFonts w:hint="eastAsia" w:eastAsia="仿宋_GB2312"/>
          <w:sz w:val="28"/>
          <w:szCs w:val="28"/>
        </w:rPr>
        <w:t>9</w:t>
      </w:r>
      <w:r>
        <w:rPr>
          <w:rFonts w:eastAsia="仿宋_GB2312"/>
          <w:sz w:val="28"/>
          <w:szCs w:val="28"/>
        </w:rPr>
        <w:t>年12月31日余额</w:t>
      </w:r>
      <w:r>
        <w:rPr>
          <w:rFonts w:hint="eastAsia" w:eastAsia="仿宋_GB2312"/>
          <w:sz w:val="28"/>
          <w:szCs w:val="28"/>
          <w:lang w:eastAsia="zh-CN"/>
        </w:rPr>
        <w:t>为人民币</w:t>
      </w:r>
      <w:r>
        <w:rPr>
          <w:rFonts w:hint="eastAsia" w:eastAsia="仿宋_GB2312"/>
          <w:sz w:val="28"/>
          <w:szCs w:val="28"/>
        </w:rPr>
        <w:t>34,594.35</w:t>
      </w:r>
      <w:r>
        <w:rPr>
          <w:rFonts w:eastAsia="仿宋_GB2312"/>
          <w:sz w:val="28"/>
          <w:szCs w:val="28"/>
        </w:rPr>
        <w:t>元，主要是利息收入。</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4.6世行贷款</w:t>
      </w:r>
    </w:p>
    <w:p>
      <w:pPr>
        <w:pStyle w:val="19"/>
        <w:adjustRightInd w:val="0"/>
        <w:snapToGrid w:val="0"/>
        <w:spacing w:line="400" w:lineRule="exact"/>
        <w:ind w:firstLine="560" w:firstLineChars="200"/>
        <w:rPr>
          <w:rFonts w:hint="eastAsia" w:eastAsia="仿宋_GB2312"/>
          <w:sz w:val="28"/>
          <w:szCs w:val="28"/>
        </w:rPr>
      </w:pPr>
      <w:r>
        <w:rPr>
          <w:rFonts w:eastAsia="仿宋_GB2312"/>
          <w:sz w:val="28"/>
          <w:szCs w:val="28"/>
        </w:rPr>
        <w:t>截至201</w:t>
      </w:r>
      <w:r>
        <w:rPr>
          <w:rFonts w:hint="eastAsia" w:eastAsia="仿宋_GB2312"/>
          <w:sz w:val="28"/>
          <w:szCs w:val="28"/>
        </w:rPr>
        <w:t>9</w:t>
      </w:r>
      <w:r>
        <w:rPr>
          <w:rFonts w:eastAsia="仿宋_GB2312"/>
          <w:sz w:val="28"/>
          <w:szCs w:val="28"/>
        </w:rPr>
        <w:t>年12月31日，累计使用世界银行贷款36</w:t>
      </w:r>
      <w:r>
        <w:rPr>
          <w:rFonts w:hint="eastAsia" w:eastAsia="仿宋_GB2312"/>
          <w:sz w:val="28"/>
          <w:szCs w:val="28"/>
        </w:rPr>
        <w:t>,</w:t>
      </w:r>
      <w:r>
        <w:rPr>
          <w:rFonts w:eastAsia="仿宋_GB2312"/>
          <w:sz w:val="28"/>
          <w:szCs w:val="28"/>
        </w:rPr>
        <w:t>069</w:t>
      </w:r>
      <w:r>
        <w:rPr>
          <w:rFonts w:hint="eastAsia" w:eastAsia="仿宋_GB2312"/>
          <w:sz w:val="28"/>
          <w:szCs w:val="28"/>
        </w:rPr>
        <w:t>,</w:t>
      </w:r>
      <w:r>
        <w:rPr>
          <w:rFonts w:eastAsia="仿宋_GB2312"/>
          <w:sz w:val="28"/>
          <w:szCs w:val="28"/>
        </w:rPr>
        <w:t>389.95美元，折合人民币251</w:t>
      </w:r>
      <w:r>
        <w:rPr>
          <w:rFonts w:hint="eastAsia" w:eastAsia="仿宋_GB2312"/>
          <w:sz w:val="28"/>
          <w:szCs w:val="28"/>
        </w:rPr>
        <w:t>,</w:t>
      </w:r>
      <w:r>
        <w:rPr>
          <w:rFonts w:eastAsia="仿宋_GB2312"/>
          <w:sz w:val="28"/>
          <w:szCs w:val="28"/>
        </w:rPr>
        <w:t>627</w:t>
      </w:r>
      <w:r>
        <w:rPr>
          <w:rFonts w:hint="eastAsia" w:eastAsia="仿宋_GB2312"/>
          <w:sz w:val="28"/>
          <w:szCs w:val="28"/>
        </w:rPr>
        <w:t>,</w:t>
      </w:r>
      <w:r>
        <w:rPr>
          <w:rFonts w:eastAsia="仿宋_GB2312"/>
          <w:sz w:val="28"/>
          <w:szCs w:val="28"/>
        </w:rPr>
        <w:t>278.17元，为贷款总额的</w:t>
      </w:r>
      <w:r>
        <w:rPr>
          <w:rFonts w:hint="eastAsia" w:eastAsia="仿宋_GB2312"/>
          <w:sz w:val="28"/>
          <w:szCs w:val="28"/>
        </w:rPr>
        <w:t>36</w:t>
      </w:r>
      <w:r>
        <w:rPr>
          <w:rFonts w:eastAsia="仿宋_GB2312"/>
          <w:sz w:val="28"/>
          <w:szCs w:val="28"/>
        </w:rPr>
        <w:t>.07%。其中专用账户累计向世界银行提取贷款33</w:t>
      </w:r>
      <w:r>
        <w:rPr>
          <w:rFonts w:hint="eastAsia" w:eastAsia="仿宋_GB2312"/>
          <w:sz w:val="28"/>
          <w:szCs w:val="28"/>
        </w:rPr>
        <w:t>,</w:t>
      </w:r>
      <w:r>
        <w:rPr>
          <w:rFonts w:eastAsia="仿宋_GB2312"/>
          <w:sz w:val="28"/>
          <w:szCs w:val="28"/>
        </w:rPr>
        <w:t>238</w:t>
      </w:r>
      <w:r>
        <w:rPr>
          <w:rFonts w:hint="eastAsia" w:eastAsia="仿宋_GB2312"/>
          <w:sz w:val="28"/>
          <w:szCs w:val="28"/>
        </w:rPr>
        <w:t>,</w:t>
      </w:r>
      <w:r>
        <w:rPr>
          <w:rFonts w:eastAsia="仿宋_GB2312"/>
          <w:sz w:val="28"/>
          <w:szCs w:val="28"/>
        </w:rPr>
        <w:t>038.38美元，折合人民币231</w:t>
      </w:r>
      <w:r>
        <w:rPr>
          <w:rFonts w:hint="eastAsia" w:eastAsia="仿宋_GB2312"/>
          <w:sz w:val="28"/>
          <w:szCs w:val="28"/>
        </w:rPr>
        <w:t>,</w:t>
      </w:r>
      <w:r>
        <w:rPr>
          <w:rFonts w:eastAsia="仿宋_GB2312"/>
          <w:sz w:val="28"/>
          <w:szCs w:val="28"/>
        </w:rPr>
        <w:t>875</w:t>
      </w:r>
      <w:r>
        <w:rPr>
          <w:rFonts w:hint="eastAsia" w:eastAsia="仿宋_GB2312"/>
          <w:sz w:val="28"/>
          <w:szCs w:val="28"/>
        </w:rPr>
        <w:t>,</w:t>
      </w:r>
      <w:r>
        <w:rPr>
          <w:rFonts w:eastAsia="仿宋_GB2312"/>
          <w:sz w:val="28"/>
          <w:szCs w:val="28"/>
        </w:rPr>
        <w:t>203.35元，先征费250,000.00美元，折合人民币1</w:t>
      </w:r>
      <w:r>
        <w:rPr>
          <w:rFonts w:hint="eastAsia" w:eastAsia="仿宋_GB2312"/>
          <w:sz w:val="28"/>
          <w:szCs w:val="28"/>
        </w:rPr>
        <w:t>,</w:t>
      </w:r>
      <w:r>
        <w:rPr>
          <w:rFonts w:eastAsia="仿宋_GB2312"/>
          <w:sz w:val="28"/>
          <w:szCs w:val="28"/>
        </w:rPr>
        <w:t>744</w:t>
      </w:r>
      <w:r>
        <w:rPr>
          <w:rFonts w:hint="eastAsia" w:eastAsia="仿宋_GB2312"/>
          <w:sz w:val="28"/>
          <w:szCs w:val="28"/>
        </w:rPr>
        <w:t>,</w:t>
      </w:r>
      <w:r>
        <w:rPr>
          <w:rFonts w:eastAsia="仿宋_GB2312"/>
          <w:sz w:val="28"/>
          <w:szCs w:val="28"/>
        </w:rPr>
        <w:t>050.00元，利息及承诺费2</w:t>
      </w:r>
      <w:r>
        <w:rPr>
          <w:rFonts w:hint="eastAsia" w:eastAsia="仿宋_GB2312"/>
          <w:sz w:val="28"/>
          <w:szCs w:val="28"/>
        </w:rPr>
        <w:t>,</w:t>
      </w:r>
      <w:r>
        <w:rPr>
          <w:rFonts w:eastAsia="仿宋_GB2312"/>
          <w:sz w:val="28"/>
          <w:szCs w:val="28"/>
        </w:rPr>
        <w:t>581</w:t>
      </w:r>
      <w:r>
        <w:rPr>
          <w:rFonts w:hint="eastAsia" w:eastAsia="仿宋_GB2312"/>
          <w:sz w:val="28"/>
          <w:szCs w:val="28"/>
        </w:rPr>
        <w:t>,</w:t>
      </w:r>
      <w:r>
        <w:rPr>
          <w:rFonts w:eastAsia="仿宋_GB2312"/>
          <w:sz w:val="28"/>
          <w:szCs w:val="28"/>
        </w:rPr>
        <w:t>351.57美元，折合人民币18</w:t>
      </w:r>
      <w:r>
        <w:rPr>
          <w:rFonts w:hint="eastAsia" w:eastAsia="仿宋_GB2312"/>
          <w:sz w:val="28"/>
          <w:szCs w:val="28"/>
        </w:rPr>
        <w:t>,</w:t>
      </w:r>
      <w:r>
        <w:rPr>
          <w:rFonts w:eastAsia="仿宋_GB2312"/>
          <w:sz w:val="28"/>
          <w:szCs w:val="28"/>
        </w:rPr>
        <w:t>008</w:t>
      </w:r>
      <w:r>
        <w:rPr>
          <w:rFonts w:hint="eastAsia" w:eastAsia="仿宋_GB2312"/>
          <w:sz w:val="28"/>
          <w:szCs w:val="28"/>
        </w:rPr>
        <w:t>,</w:t>
      </w:r>
      <w:r>
        <w:rPr>
          <w:rFonts w:eastAsia="仿宋_GB2312"/>
          <w:sz w:val="28"/>
          <w:szCs w:val="28"/>
        </w:rPr>
        <w:t>024.82元。</w:t>
      </w:r>
    </w:p>
    <w:p>
      <w:pPr>
        <w:pStyle w:val="20"/>
        <w:spacing w:line="400" w:lineRule="exact"/>
        <w:rPr>
          <w:rFonts w:hint="eastAsia"/>
          <w:lang w:val="en-US" w:eastAsia="zh-CN"/>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4.7配套资金</w:t>
      </w:r>
    </w:p>
    <w:p>
      <w:pPr>
        <w:pStyle w:val="19"/>
        <w:snapToGrid w:val="0"/>
        <w:spacing w:line="400" w:lineRule="exact"/>
        <w:ind w:firstLine="560" w:firstLineChars="200"/>
        <w:rPr>
          <w:rFonts w:eastAsia="仿宋_GB2312"/>
          <w:sz w:val="28"/>
          <w:szCs w:val="28"/>
        </w:rPr>
      </w:pPr>
      <w:r>
        <w:rPr>
          <w:rFonts w:eastAsia="仿宋_GB2312"/>
          <w:sz w:val="28"/>
          <w:szCs w:val="28"/>
        </w:rPr>
        <w:t>本年配套资金计划数为人民币111</w:t>
      </w:r>
      <w:r>
        <w:rPr>
          <w:rFonts w:hint="eastAsia" w:eastAsia="仿宋_GB2312"/>
          <w:sz w:val="28"/>
          <w:szCs w:val="28"/>
        </w:rPr>
        <w:t>,</w:t>
      </w:r>
      <w:r>
        <w:rPr>
          <w:rFonts w:eastAsia="仿宋_GB2312"/>
          <w:sz w:val="28"/>
          <w:szCs w:val="28"/>
        </w:rPr>
        <w:t>680</w:t>
      </w:r>
      <w:r>
        <w:rPr>
          <w:rFonts w:hint="eastAsia" w:eastAsia="仿宋_GB2312"/>
          <w:sz w:val="28"/>
          <w:szCs w:val="28"/>
        </w:rPr>
        <w:t>,</w:t>
      </w:r>
      <w:r>
        <w:rPr>
          <w:rFonts w:eastAsia="仿宋_GB2312"/>
          <w:sz w:val="28"/>
          <w:szCs w:val="28"/>
        </w:rPr>
        <w:t>000.00元，实际到位人民币23,593,357.99元，完成</w:t>
      </w:r>
      <w:r>
        <w:rPr>
          <w:rFonts w:hint="eastAsia" w:eastAsia="仿宋_GB2312"/>
          <w:sz w:val="28"/>
          <w:szCs w:val="28"/>
          <w:lang w:eastAsia="zh-CN"/>
        </w:rPr>
        <w:t>当年</w:t>
      </w:r>
      <w:r>
        <w:rPr>
          <w:rFonts w:eastAsia="仿宋_GB2312"/>
          <w:sz w:val="28"/>
          <w:szCs w:val="28"/>
        </w:rPr>
        <w:t>计划的21.13%。截至201</w:t>
      </w:r>
      <w:r>
        <w:rPr>
          <w:rFonts w:hint="eastAsia" w:eastAsia="仿宋_GB2312"/>
          <w:sz w:val="28"/>
          <w:szCs w:val="28"/>
        </w:rPr>
        <w:t>9</w:t>
      </w:r>
      <w:r>
        <w:rPr>
          <w:rFonts w:eastAsia="仿宋_GB2312"/>
          <w:sz w:val="28"/>
          <w:szCs w:val="28"/>
        </w:rPr>
        <w:t>年12月31日，配套资金累计到位人民币175,537,692.26元，完成项目总计划29.35%，全部为无偿配套。</w:t>
      </w:r>
    </w:p>
    <w:p>
      <w:pPr>
        <w:pStyle w:val="19"/>
        <w:adjustRightInd w:val="0"/>
        <w:snapToGrid w:val="0"/>
        <w:spacing w:line="400" w:lineRule="exact"/>
        <w:ind w:firstLine="560" w:firstLineChars="200"/>
        <w:rPr>
          <w:rFonts w:hint="eastAsia" w:eastAsia="仿宋_GB2312"/>
          <w:sz w:val="28"/>
          <w:szCs w:val="28"/>
        </w:rPr>
      </w:pPr>
    </w:p>
    <w:p>
      <w:pPr>
        <w:pStyle w:val="19"/>
        <w:adjustRightInd w:val="0"/>
        <w:snapToGrid w:val="0"/>
        <w:spacing w:line="400" w:lineRule="exact"/>
        <w:ind w:firstLine="560" w:firstLineChars="200"/>
        <w:rPr>
          <w:rFonts w:hint="eastAsia" w:eastAsia="仿宋_GB2312"/>
          <w:sz w:val="28"/>
          <w:szCs w:val="28"/>
        </w:rPr>
      </w:pPr>
      <w:r>
        <w:rPr>
          <w:rFonts w:hint="eastAsia" w:eastAsia="仿宋_GB2312"/>
          <w:sz w:val="28"/>
          <w:szCs w:val="28"/>
        </w:rPr>
        <w:t>5.指定账户使用情况</w:t>
      </w:r>
    </w:p>
    <w:p>
      <w:pPr>
        <w:pStyle w:val="19"/>
        <w:spacing w:line="400" w:lineRule="exact"/>
        <w:ind w:firstLine="560" w:firstLineChars="200"/>
        <w:rPr>
          <w:rFonts w:eastAsia="仿宋_GB2312"/>
          <w:sz w:val="28"/>
          <w:szCs w:val="28"/>
        </w:rPr>
      </w:pPr>
      <w:r>
        <w:rPr>
          <w:rFonts w:eastAsia="仿宋_GB2312"/>
          <w:sz w:val="28"/>
          <w:szCs w:val="28"/>
        </w:rPr>
        <w:t>本项目指定账户由四川省财政厅管理，设在四川省建设银行锦城支行，账号为 51050189083609588666，币种为美元。指定</w:t>
      </w:r>
      <w:r>
        <w:rPr>
          <w:rFonts w:hint="eastAsia" w:eastAsia="仿宋_GB2312"/>
          <w:sz w:val="28"/>
          <w:szCs w:val="28"/>
          <w:lang w:val="en-US" w:eastAsia="zh-CN"/>
        </w:rPr>
        <w:t>账</w:t>
      </w:r>
      <w:r>
        <w:rPr>
          <w:rFonts w:eastAsia="仿宋_GB2312"/>
          <w:sz w:val="28"/>
          <w:szCs w:val="28"/>
        </w:rPr>
        <w:t>户首次存款5,000,000.00美元，201</w:t>
      </w:r>
      <w:r>
        <w:rPr>
          <w:rFonts w:hint="eastAsia" w:eastAsia="仿宋_GB2312"/>
          <w:sz w:val="28"/>
          <w:szCs w:val="28"/>
        </w:rPr>
        <w:t>9</w:t>
      </w:r>
      <w:r>
        <w:rPr>
          <w:rFonts w:eastAsia="仿宋_GB2312"/>
          <w:sz w:val="28"/>
          <w:szCs w:val="28"/>
        </w:rPr>
        <w:t>年年初余额为3</w:t>
      </w:r>
      <w:r>
        <w:rPr>
          <w:rFonts w:hint="eastAsia" w:eastAsia="仿宋_GB2312"/>
          <w:sz w:val="28"/>
          <w:szCs w:val="28"/>
        </w:rPr>
        <w:t>,</w:t>
      </w:r>
      <w:r>
        <w:rPr>
          <w:rFonts w:eastAsia="仿宋_GB2312"/>
          <w:sz w:val="28"/>
          <w:szCs w:val="28"/>
        </w:rPr>
        <w:t>475</w:t>
      </w:r>
      <w:r>
        <w:rPr>
          <w:rFonts w:hint="eastAsia" w:eastAsia="仿宋_GB2312"/>
          <w:sz w:val="28"/>
          <w:szCs w:val="28"/>
        </w:rPr>
        <w:t>,</w:t>
      </w:r>
      <w:r>
        <w:rPr>
          <w:rFonts w:eastAsia="仿宋_GB2312"/>
          <w:sz w:val="28"/>
          <w:szCs w:val="28"/>
        </w:rPr>
        <w:t>870.16美元，本年度回补</w:t>
      </w:r>
      <w:r>
        <w:rPr>
          <w:rFonts w:hint="eastAsia" w:eastAsia="仿宋_GB2312"/>
          <w:sz w:val="28"/>
          <w:szCs w:val="28"/>
        </w:rPr>
        <w:t>9,828,520.71</w:t>
      </w:r>
      <w:r>
        <w:rPr>
          <w:rFonts w:eastAsia="仿宋_GB2312"/>
          <w:sz w:val="28"/>
          <w:szCs w:val="28"/>
        </w:rPr>
        <w:t>美元，利息收入</w:t>
      </w:r>
      <w:r>
        <w:rPr>
          <w:rFonts w:hint="eastAsia" w:eastAsia="仿宋_GB2312"/>
          <w:sz w:val="28"/>
          <w:szCs w:val="28"/>
        </w:rPr>
        <w:t>1,921.54</w:t>
      </w:r>
      <w:r>
        <w:rPr>
          <w:rFonts w:eastAsia="仿宋_GB2312"/>
          <w:sz w:val="28"/>
          <w:szCs w:val="28"/>
        </w:rPr>
        <w:t>美元；本年度支付</w:t>
      </w:r>
      <w:r>
        <w:rPr>
          <w:rFonts w:hint="eastAsia" w:eastAsia="仿宋_GB2312"/>
          <w:sz w:val="28"/>
          <w:szCs w:val="28"/>
        </w:rPr>
        <w:t>6,841,483.21</w:t>
      </w:r>
      <w:r>
        <w:rPr>
          <w:rFonts w:eastAsia="仿宋_GB2312"/>
          <w:sz w:val="28"/>
          <w:szCs w:val="28"/>
        </w:rPr>
        <w:t>美元，手续费支出20.00美元，期末余额</w:t>
      </w:r>
      <w:r>
        <w:rPr>
          <w:rFonts w:hint="eastAsia" w:eastAsia="仿宋_GB2312"/>
          <w:sz w:val="28"/>
          <w:szCs w:val="28"/>
        </w:rPr>
        <w:t>6,464,809.20</w:t>
      </w:r>
      <w:r>
        <w:rPr>
          <w:rFonts w:eastAsia="仿宋_GB2312"/>
          <w:sz w:val="28"/>
          <w:szCs w:val="28"/>
        </w:rPr>
        <w:t>美元。</w:t>
      </w: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spacing w:line="400" w:lineRule="exact"/>
        <w:rPr>
          <w:rFonts w:hint="eastAsia" w:ascii="Times New Roman" w:hAnsi="Times New Roman" w:eastAsia="仿宋_GB2312" w:cs="Times New Roman"/>
          <w:kern w:val="2"/>
          <w:sz w:val="28"/>
          <w:szCs w:val="28"/>
          <w:highlight w:val="none"/>
          <w:lang w:val="en-US" w:eastAsia="zh-CN" w:bidi="ar-SA"/>
        </w:rPr>
      </w:pPr>
    </w:p>
    <w:p>
      <w:pPr>
        <w:pStyle w:val="16"/>
      </w:pPr>
      <w:r>
        <w:t>三、审计发现的问题及建议</w:t>
      </w:r>
    </w:p>
    <w:p>
      <w:pPr>
        <w:pStyle w:val="21"/>
        <w:autoSpaceDE w:val="0"/>
        <w:autoSpaceDN w:val="0"/>
        <w:adjustRightInd w:val="0"/>
        <w:snapToGrid w:val="0"/>
        <w:spacing w:line="400" w:lineRule="exact"/>
        <w:jc w:val="center"/>
        <w:rPr>
          <w:rFonts w:eastAsia="仿宋_GB2312"/>
          <w:b/>
          <w:sz w:val="28"/>
          <w:szCs w:val="28"/>
        </w:rPr>
      </w:pPr>
    </w:p>
    <w:p>
      <w:pPr>
        <w:pStyle w:val="23"/>
        <w:rPr>
          <w:kern w:val="2"/>
          <w:lang w:eastAsia="zh-CN"/>
        </w:rPr>
      </w:pPr>
      <w:r>
        <w:rPr>
          <w:kern w:val="2"/>
          <w:lang w:eastAsia="zh-CN"/>
        </w:rPr>
        <w:t>审计发现的问题及建议</w:t>
      </w:r>
    </w:p>
    <w:p>
      <w:pPr>
        <w:pStyle w:val="21"/>
        <w:snapToGrid w:val="0"/>
        <w:spacing w:line="400" w:lineRule="exact"/>
        <w:rPr>
          <w:rFonts w:eastAsia="仿宋_GB2312"/>
          <w:sz w:val="32"/>
        </w:rPr>
      </w:pPr>
    </w:p>
    <w:p>
      <w:pPr>
        <w:pStyle w:val="21"/>
        <w:spacing w:line="400" w:lineRule="exact"/>
        <w:ind w:firstLine="560" w:firstLineChars="200"/>
        <w:rPr>
          <w:rFonts w:ascii="Calibri" w:hAnsi="Calibri" w:eastAsia="仿宋_GB2312" w:cs="黑体"/>
          <w:sz w:val="28"/>
          <w:szCs w:val="28"/>
        </w:rPr>
      </w:pPr>
      <w:r>
        <w:rPr>
          <w:rFonts w:hint="eastAsia" w:ascii="Calibri" w:hAnsi="Calibri" w:eastAsia="仿宋_GB2312" w:cs="黑体"/>
          <w:sz w:val="28"/>
          <w:szCs w:val="28"/>
        </w:rPr>
        <w:t>除对财务报表进行审计并发表审计意见外，审计中我们还关注了项目执行过程中相关单位国家法规和项目贷款协定遵守情况、内部控制和项目管理情况、项目绩效及上年度审计建议整改落实情况。我们发现存在如下问题：</w:t>
      </w:r>
    </w:p>
    <w:p>
      <w:pPr>
        <w:pStyle w:val="21"/>
        <w:spacing w:line="400" w:lineRule="exact"/>
        <w:ind w:firstLine="562" w:firstLineChars="200"/>
        <w:rPr>
          <w:rFonts w:ascii="宋体" w:hAnsi="宋体"/>
          <w:b/>
          <w:color w:val="000000"/>
          <w:sz w:val="28"/>
          <w:szCs w:val="28"/>
        </w:rPr>
      </w:pPr>
    </w:p>
    <w:p>
      <w:pPr>
        <w:pStyle w:val="21"/>
        <w:spacing w:line="400" w:lineRule="exact"/>
        <w:ind w:firstLine="562" w:firstLineChars="200"/>
        <w:rPr>
          <w:rFonts w:ascii="宋体" w:hAnsi="宋体"/>
          <w:b/>
          <w:color w:val="000000"/>
          <w:sz w:val="28"/>
          <w:szCs w:val="28"/>
        </w:rPr>
      </w:pPr>
      <w:r>
        <w:rPr>
          <w:rFonts w:hint="eastAsia" w:ascii="宋体" w:hAnsi="宋体"/>
          <w:b/>
          <w:color w:val="000000"/>
          <w:sz w:val="28"/>
          <w:szCs w:val="28"/>
        </w:rPr>
        <w:t>（一）违反国家法规或贷款协定的问题</w:t>
      </w:r>
    </w:p>
    <w:p>
      <w:pPr>
        <w:pStyle w:val="21"/>
        <w:spacing w:line="400" w:lineRule="exact"/>
        <w:ind w:firstLine="560" w:firstLineChars="200"/>
        <w:rPr>
          <w:rFonts w:hint="eastAsia" w:eastAsia="方正仿宋_GBK"/>
          <w:sz w:val="28"/>
          <w:szCs w:val="28"/>
        </w:rPr>
      </w:pPr>
    </w:p>
    <w:p>
      <w:pPr>
        <w:pStyle w:val="21"/>
        <w:adjustRightInd w:val="0"/>
        <w:snapToGrid w:val="0"/>
        <w:spacing w:line="400" w:lineRule="exact"/>
        <w:ind w:firstLine="562" w:firstLineChars="200"/>
        <w:rPr>
          <w:rFonts w:hint="eastAsia" w:ascii="Calibri" w:hAnsi="Calibri" w:eastAsia="仿宋_GB2312" w:cs="黑体"/>
          <w:sz w:val="28"/>
          <w:szCs w:val="28"/>
        </w:rPr>
      </w:pPr>
      <w:r>
        <w:rPr>
          <w:rFonts w:hint="eastAsia" w:eastAsia="仿宋_GB2312"/>
          <w:b/>
          <w:color w:val="000000"/>
          <w:kern w:val="32"/>
          <w:sz w:val="28"/>
          <w:szCs w:val="28"/>
        </w:rPr>
        <w:t>1.个别子项目虚报冒领世行贷款，列支不合格支出人民币6,561,444.57元。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抽查发现，</w:t>
      </w:r>
      <w:r>
        <w:rPr>
          <w:rFonts w:ascii="仿宋_GB2312" w:hAnsi="仿宋_GB2312" w:eastAsia="仿宋_GB2312" w:cs="仿宋_GB2312"/>
          <w:sz w:val="28"/>
          <w:szCs w:val="28"/>
        </w:rPr>
        <w:t>邻水县远丰工业发展有限责任公司</w:t>
      </w:r>
      <w:r>
        <w:rPr>
          <w:rFonts w:hint="eastAsia" w:ascii="仿宋_GB2312" w:hAnsi="仿宋_GB2312" w:eastAsia="仿宋_GB2312" w:cs="仿宋_GB2312"/>
          <w:sz w:val="28"/>
          <w:szCs w:val="28"/>
        </w:rPr>
        <w:t>（以下简称邻水远丰公司）2019年1月组织实施的邻水县一号道路</w:t>
      </w:r>
      <w:r>
        <w:rPr>
          <w:rFonts w:hint="eastAsia" w:ascii="仿宋_GB2312" w:hAnsi="仿宋_GB2312" w:eastAsia="仿宋_GB2312" w:cs="仿宋_GB2312"/>
          <w:sz w:val="28"/>
          <w:szCs w:val="28"/>
          <w:lang w:eastAsia="zh-CN"/>
        </w:rPr>
        <w:t>施工</w:t>
      </w:r>
      <w:r>
        <w:rPr>
          <w:rFonts w:hint="eastAsia" w:ascii="仿宋_GB2312" w:hAnsi="仿宋_GB2312" w:eastAsia="仿宋_GB2312" w:cs="仿宋_GB2312"/>
          <w:sz w:val="28"/>
          <w:szCs w:val="28"/>
        </w:rPr>
        <w:t>土建工程，在堰塘软基处理</w:t>
      </w:r>
      <w:r>
        <w:rPr>
          <w:rFonts w:hint="eastAsia" w:ascii="仿宋_GB2312" w:hAnsi="仿宋_GB2312" w:eastAsia="仿宋_GB2312" w:cs="仿宋_GB2312"/>
          <w:sz w:val="28"/>
          <w:szCs w:val="28"/>
          <w:lang w:eastAsia="zh-CN"/>
        </w:rPr>
        <w:t>变更工程施工</w:t>
      </w:r>
      <w:r>
        <w:rPr>
          <w:rFonts w:hint="eastAsia" w:ascii="仿宋_GB2312" w:hAnsi="仿宋_GB2312" w:eastAsia="仿宋_GB2312" w:cs="仿宋_GB2312"/>
          <w:sz w:val="28"/>
          <w:szCs w:val="28"/>
        </w:rPr>
        <w:t>中，施工单位重庆建工市政交通工程有限责任公司通过虚构</w:t>
      </w: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片石</w:t>
      </w:r>
      <w:r>
        <w:rPr>
          <w:rFonts w:hint="eastAsia" w:ascii="仿宋_GB2312" w:hAnsi="仿宋_GB2312" w:eastAsia="仿宋_GB2312" w:cs="仿宋_GB2312"/>
          <w:sz w:val="28"/>
          <w:szCs w:val="28"/>
          <w:lang w:eastAsia="zh-CN"/>
        </w:rPr>
        <w:t>事项</w:t>
      </w:r>
      <w:r>
        <w:rPr>
          <w:rFonts w:hint="eastAsia" w:ascii="仿宋_GB2312" w:hAnsi="仿宋_GB2312" w:eastAsia="仿宋_GB2312" w:cs="仿宋_GB2312"/>
          <w:sz w:val="28"/>
          <w:szCs w:val="28"/>
        </w:rPr>
        <w:t>、虚增强夯工程量、对合同内已有报价的项目高套定额等方式，多计工程价款</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6,561,444.57元。邻水远丰公司对提款报账</w:t>
      </w:r>
      <w:r>
        <w:rPr>
          <w:rFonts w:hint="eastAsia" w:ascii="仿宋_GB2312" w:hAnsi="仿宋_GB2312" w:eastAsia="仿宋_GB2312" w:cs="仿宋_GB2312"/>
          <w:sz w:val="28"/>
          <w:szCs w:val="28"/>
          <w:lang w:eastAsia="zh-CN"/>
        </w:rPr>
        <w:t>申请</w:t>
      </w:r>
      <w:r>
        <w:rPr>
          <w:rFonts w:hint="eastAsia" w:ascii="仿宋_GB2312" w:hAnsi="仿宋_GB2312" w:eastAsia="仿宋_GB2312" w:cs="仿宋_GB2312"/>
          <w:sz w:val="28"/>
          <w:szCs w:val="28"/>
        </w:rPr>
        <w:t>资料审核把关不严，截至2019年12月31日，以上款项已</w:t>
      </w:r>
      <w:r>
        <w:rPr>
          <w:rFonts w:hint="eastAsia" w:ascii="仿宋_GB2312" w:hAnsi="仿宋_GB2312" w:eastAsia="仿宋_GB2312" w:cs="仿宋_GB2312"/>
          <w:sz w:val="28"/>
          <w:szCs w:val="28"/>
          <w:lang w:eastAsia="zh-CN"/>
        </w:rPr>
        <w:t>用世行贷款周转金</w:t>
      </w:r>
      <w:r>
        <w:rPr>
          <w:rFonts w:hint="eastAsia" w:ascii="仿宋_GB2312" w:hAnsi="仿宋_GB2312" w:eastAsia="仿宋_GB2312" w:cs="仿宋_GB2312"/>
          <w:sz w:val="28"/>
          <w:szCs w:val="28"/>
        </w:rPr>
        <w:t>支付</w:t>
      </w:r>
      <w:r>
        <w:rPr>
          <w:rFonts w:hint="eastAsia" w:ascii="仿宋_GB2312" w:hAnsi="仿宋_GB2312" w:eastAsia="仿宋_GB2312" w:cs="仿宋_GB2312"/>
          <w:sz w:val="28"/>
          <w:szCs w:val="28"/>
          <w:lang w:eastAsia="zh-CN"/>
        </w:rPr>
        <w:t>。</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上述行为违反了</w:t>
      </w:r>
      <w:r>
        <w:rPr>
          <w:rFonts w:hint="eastAsia" w:ascii="仿宋_GB2312" w:hAnsi="仿宋_GB2312" w:eastAsia="仿宋_GB2312" w:cs="仿宋_GB2312"/>
          <w:sz w:val="28"/>
          <w:szCs w:val="28"/>
          <w:lang w:val="en-US" w:eastAsia="zh-CN"/>
        </w:rPr>
        <w:t>《建设工程工程量清单计价规范》（GB50500-2013）8.工程计量“……因工程变更引起工程量增减时，应按承包人在履行合同义务中完成的工程量计算……”、9.3工程变更“……已标价工程量清单中有适用于变更工程项目的，应采用该项目的单价……”</w:t>
      </w:r>
      <w:r>
        <w:rPr>
          <w:rFonts w:hint="eastAsia" w:ascii="仿宋_GB2312" w:hAnsi="仿宋_GB2312" w:eastAsia="仿宋_GB2312" w:cs="仿宋_GB2312"/>
          <w:sz w:val="28"/>
          <w:szCs w:val="28"/>
        </w:rPr>
        <w:t>和《国际金融组织和外国政府贷款赠款项目财务管理办法》（财国合〔2017〕28号）第七条“项目实施单位履行下列职责：……（五）按照贷款方或赠款方及国内相关规定，办理贷款赠款资金提款报账，合理合规使用项目资金”的规定。</w:t>
      </w:r>
    </w:p>
    <w:p>
      <w:pPr>
        <w:pStyle w:val="24"/>
        <w:widowControl/>
        <w:adjustRightInd/>
        <w:snapToGrid/>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val="en-US" w:eastAsia="zh-CN"/>
        </w:rPr>
        <w:t>你</w:t>
      </w:r>
      <w:r>
        <w:rPr>
          <w:rFonts w:hint="eastAsia" w:ascii="仿宋_GB2312" w:hAnsi="仿宋_GB2312" w:eastAsia="仿宋_GB2312" w:cs="仿宋_GB2312"/>
          <w:sz w:val="28"/>
          <w:szCs w:val="28"/>
        </w:rPr>
        <w:t>办加大对世行贷款项目提款报账的监管，督促邻水远丰公司及时追回并上缴虚报冒领的资金，据实办理结算，并对相关责任人进行严肃问责，杜绝此类问题再次发生。</w:t>
      </w:r>
      <w:r>
        <w:rPr>
          <w:rFonts w:hint="eastAsia" w:ascii="Calibri" w:hAnsi="Calibri" w:eastAsia="仿宋_GB2312" w:cs="黑体"/>
          <w:kern w:val="2"/>
          <w:sz w:val="28"/>
          <w:szCs w:val="28"/>
          <w:lang w:val="en-US" w:eastAsia="zh-CN"/>
        </w:rPr>
        <w:t>你办已接受审计建议。截至2020年6月4日，</w:t>
      </w:r>
      <w:r>
        <w:rPr>
          <w:rFonts w:hint="eastAsia" w:ascii="仿宋_GB2312" w:hAnsi="仿宋_GB2312" w:eastAsia="仿宋_GB2312" w:cs="仿宋_GB2312"/>
          <w:sz w:val="28"/>
          <w:szCs w:val="28"/>
        </w:rPr>
        <w:t>邻水远丰公司</w:t>
      </w:r>
      <w:r>
        <w:rPr>
          <w:rFonts w:hint="eastAsia" w:ascii="Calibri" w:hAnsi="Calibri" w:eastAsia="仿宋_GB2312" w:cs="黑体"/>
          <w:sz w:val="28"/>
          <w:szCs w:val="28"/>
          <w:lang w:eastAsia="zh-CN"/>
        </w:rPr>
        <w:t>已</w:t>
      </w:r>
      <w:r>
        <w:rPr>
          <w:rFonts w:hint="eastAsia" w:ascii="Calibri" w:hAnsi="Calibri" w:eastAsia="仿宋_GB2312" w:cs="黑体"/>
          <w:sz w:val="28"/>
          <w:szCs w:val="28"/>
          <w:highlight w:val="none"/>
          <w:lang w:eastAsia="zh-CN"/>
        </w:rPr>
        <w:t>追回</w:t>
      </w:r>
      <w:r>
        <w:rPr>
          <w:rFonts w:hint="eastAsia" w:ascii="Calibri" w:hAnsi="Calibri" w:eastAsia="仿宋_GB2312" w:cs="黑体"/>
          <w:sz w:val="28"/>
          <w:szCs w:val="28"/>
          <w:lang w:eastAsia="zh-CN"/>
        </w:rPr>
        <w:t>工程</w:t>
      </w:r>
      <w:r>
        <w:rPr>
          <w:rFonts w:hint="eastAsia" w:ascii="仿宋_GB2312" w:hAnsi="仿宋_GB2312" w:eastAsia="仿宋_GB2312" w:cs="仿宋_GB2312"/>
          <w:sz w:val="28"/>
          <w:szCs w:val="28"/>
          <w:lang w:eastAsia="zh-CN"/>
        </w:rPr>
        <w:t>款人民币</w:t>
      </w:r>
      <w:r>
        <w:rPr>
          <w:rFonts w:hint="eastAsia" w:ascii="仿宋_GB2312" w:hAnsi="仿宋_GB2312" w:eastAsia="仿宋_GB2312" w:cs="仿宋_GB2312"/>
          <w:sz w:val="28"/>
          <w:szCs w:val="28"/>
          <w:lang w:val="en-US" w:eastAsia="zh-CN"/>
        </w:rPr>
        <w:t>2,000,000.00元。</w:t>
      </w:r>
    </w:p>
    <w:p>
      <w:pPr>
        <w:pStyle w:val="22"/>
        <w:spacing w:line="400" w:lineRule="exact"/>
        <w:rPr>
          <w:rFonts w:hint="eastAsia"/>
          <w:lang w:val="en-US" w:eastAsia="zh-CN"/>
        </w:rPr>
      </w:pPr>
    </w:p>
    <w:p>
      <w:pPr>
        <w:pStyle w:val="21"/>
        <w:adjustRightInd w:val="0"/>
        <w:snapToGrid w:val="0"/>
        <w:spacing w:line="400" w:lineRule="exact"/>
        <w:ind w:firstLine="562" w:firstLineChars="200"/>
        <w:rPr>
          <w:rFonts w:hint="eastAsia" w:eastAsia="仿宋_GB2312"/>
          <w:b/>
          <w:color w:val="000000"/>
          <w:kern w:val="32"/>
          <w:sz w:val="28"/>
          <w:szCs w:val="28"/>
        </w:rPr>
      </w:pPr>
      <w:r>
        <w:rPr>
          <w:rFonts w:hint="eastAsia" w:eastAsia="仿宋_GB2312"/>
          <w:b/>
          <w:color w:val="000000"/>
          <w:kern w:val="32"/>
          <w:sz w:val="28"/>
          <w:szCs w:val="28"/>
        </w:rPr>
        <w:t>2.个别子项目多计工程价款，涉及金额人民币3,866,980.55元。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抽查发现，广安鑫鸿投资控股有限公司（以下简称广安鑫鸿公司）2016年9月组织实施的前锋区芦溪河景观改造工程，在</w:t>
      </w:r>
      <w:r>
        <w:rPr>
          <w:rFonts w:hint="eastAsia" w:ascii="仿宋_GB2312" w:hAnsi="仿宋_GB2312" w:eastAsia="仿宋_GB2312" w:cs="仿宋_GB2312"/>
          <w:sz w:val="28"/>
          <w:szCs w:val="28"/>
          <w:lang w:eastAsia="zh-CN"/>
        </w:rPr>
        <w:t>新增</w:t>
      </w:r>
      <w:r>
        <w:rPr>
          <w:rFonts w:hint="eastAsia" w:ascii="仿宋_GB2312" w:hAnsi="仿宋_GB2312" w:eastAsia="仿宋_GB2312" w:cs="仿宋_GB2312"/>
          <w:sz w:val="28"/>
          <w:szCs w:val="28"/>
        </w:rPr>
        <w:t>挡土墙工程</w:t>
      </w:r>
      <w:r>
        <w:rPr>
          <w:rFonts w:hint="eastAsia" w:ascii="仿宋_GB2312" w:hAnsi="仿宋_GB2312" w:eastAsia="仿宋_GB2312" w:cs="仿宋_GB2312"/>
          <w:sz w:val="28"/>
          <w:szCs w:val="28"/>
          <w:lang w:eastAsia="zh-CN"/>
        </w:rPr>
        <w:t>施工中，</w:t>
      </w:r>
      <w:r>
        <w:rPr>
          <w:rFonts w:hint="eastAsia" w:ascii="仿宋_GB2312" w:hAnsi="仿宋_GB2312" w:eastAsia="仿宋_GB2312" w:cs="仿宋_GB2312"/>
          <w:sz w:val="28"/>
          <w:szCs w:val="28"/>
        </w:rPr>
        <w:t>施工单位中建华夏建设集团股份有限公司虚增条石挡墙、砂砾石换填、混凝土基础等工程</w:t>
      </w:r>
      <w:r>
        <w:rPr>
          <w:rFonts w:hint="eastAsia" w:ascii="仿宋_GB2312" w:hAnsi="仿宋_GB2312" w:eastAsia="仿宋_GB2312" w:cs="仿宋_GB2312"/>
          <w:sz w:val="28"/>
          <w:szCs w:val="28"/>
          <w:lang w:eastAsia="zh-CN"/>
        </w:rPr>
        <w:t>量</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多计工程价款人民币</w:t>
      </w:r>
      <w:r>
        <w:rPr>
          <w:rFonts w:hint="eastAsia" w:ascii="仿宋_GB2312" w:hAnsi="仿宋_GB2312" w:eastAsia="仿宋_GB2312" w:cs="仿宋_GB2312"/>
          <w:sz w:val="28"/>
          <w:szCs w:val="28"/>
        </w:rPr>
        <w:t>3,866,980.55元。广安鑫鸿公司对工程计量计价资料审核把关不严，截至2019年12月31日，已支付工程款</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1,870,456.00元，其中：用世行贷款</w:t>
      </w:r>
      <w:r>
        <w:rPr>
          <w:rFonts w:hint="eastAsia" w:ascii="仿宋_GB2312" w:hAnsi="仿宋_GB2312" w:eastAsia="仿宋_GB2312" w:cs="仿宋_GB2312"/>
          <w:sz w:val="28"/>
          <w:szCs w:val="28"/>
          <w:lang w:eastAsia="zh-CN"/>
        </w:rPr>
        <w:t>周转</w:t>
      </w:r>
      <w:r>
        <w:rPr>
          <w:rFonts w:hint="eastAsia" w:ascii="仿宋_GB2312" w:hAnsi="仿宋_GB2312" w:eastAsia="仿宋_GB2312" w:cs="仿宋_GB2312"/>
          <w:sz w:val="28"/>
          <w:szCs w:val="28"/>
        </w:rPr>
        <w:t>金支付</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1,646,040.00元。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上述行为违反了</w:t>
      </w:r>
      <w:r>
        <w:rPr>
          <w:rFonts w:hint="eastAsia" w:ascii="仿宋_GB2312" w:hAnsi="仿宋_GB2312" w:eastAsia="仿宋_GB2312" w:cs="仿宋_GB2312"/>
          <w:sz w:val="28"/>
          <w:szCs w:val="28"/>
          <w:lang w:val="en-US" w:eastAsia="zh-CN"/>
        </w:rPr>
        <w:t>《建设工程工程量清单计价规范》（GB50500-2013）8.工程计量“……因工程变更引起工程量增减时，应按承包人在履行合同义务中完成的工程量计算……”、9.3工程变更“……已标价工程量清单中没有适用也没有类似于变更工程项目的，应由承包人根据变更工程资料、计量规则和计价办法、工程造价管理机构发布的信息价格……，并应报发包人确认后调整……”</w:t>
      </w:r>
      <w:r>
        <w:rPr>
          <w:rFonts w:hint="eastAsia" w:ascii="仿宋_GB2312" w:hAnsi="仿宋_GB2312" w:eastAsia="仿宋_GB2312" w:cs="仿宋_GB2312"/>
          <w:sz w:val="28"/>
          <w:szCs w:val="28"/>
        </w:rPr>
        <w:t>和《国际金融组织和外国政府贷款赠款项目财务管理办法》（财国合〔2017〕28号）第七条“项目实施单位履行下列职责：……（五）按照贷款方或赠款方及国内相关规定，办理贷款赠款资金提款报账，合理合规使用项目资金”的规定。</w:t>
      </w:r>
    </w:p>
    <w:p>
      <w:pPr>
        <w:pStyle w:val="24"/>
        <w:widowControl/>
        <w:spacing w:line="400" w:lineRule="exact"/>
        <w:ind w:firstLine="548" w:firstLineChars="196"/>
        <w:jc w:val="both"/>
        <w:rPr>
          <w:rFonts w:hint="eastAsia" w:ascii="仿宋_GB2312" w:hAnsi="仿宋_GB2312" w:eastAsia="仿宋_GB2312" w:cs="黑体"/>
          <w:kern w:val="2"/>
          <w:sz w:val="28"/>
          <w:szCs w:val="28"/>
          <w:lang w:val="en-US" w:eastAsia="zh-CN"/>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办督促广安鑫鸿公司及时追回虚报冒领资金</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1,870,456.00元并上缴</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1,646,040.00元，据实办理结算，对相关责任人进行严肃问责，杜绝此类问题再次发生。</w:t>
      </w:r>
      <w:r>
        <w:rPr>
          <w:rFonts w:hint="eastAsia" w:ascii="Calibri" w:hAnsi="Calibri" w:eastAsia="仿宋_GB2312" w:cs="黑体"/>
          <w:kern w:val="2"/>
          <w:sz w:val="28"/>
          <w:szCs w:val="28"/>
          <w:lang w:val="en-US" w:eastAsia="zh-CN"/>
        </w:rPr>
        <w:t>你办已接受审计建议。截至</w:t>
      </w:r>
      <w:r>
        <w:rPr>
          <w:rFonts w:hint="eastAsia" w:ascii="仿宋_GB2312" w:hAnsi="仿宋_GB2312" w:eastAsia="仿宋_GB2312" w:cs="黑体"/>
          <w:kern w:val="2"/>
          <w:sz w:val="28"/>
          <w:szCs w:val="28"/>
          <w:lang w:val="en-US" w:eastAsia="zh-CN"/>
        </w:rPr>
        <w:t>2020年6月8日，广安鑫鸿公司已追回工程款人民币1,500,000.00元。</w:t>
      </w:r>
    </w:p>
    <w:p>
      <w:pPr>
        <w:pStyle w:val="24"/>
        <w:widowControl/>
        <w:spacing w:line="400" w:lineRule="exact"/>
        <w:ind w:firstLine="551" w:firstLineChars="196"/>
        <w:jc w:val="left"/>
        <w:rPr>
          <w:rFonts w:hint="eastAsia" w:ascii="Times New Roman" w:hAnsi="Times New Roman" w:eastAsia="仿宋_GB2312" w:cs="Times New Roman"/>
          <w:b/>
          <w:color w:val="000000"/>
          <w:kern w:val="32"/>
          <w:sz w:val="28"/>
          <w:szCs w:val="28"/>
          <w:lang w:val="en-US" w:eastAsia="zh-CN"/>
        </w:rPr>
      </w:pPr>
    </w:p>
    <w:p>
      <w:pPr>
        <w:pStyle w:val="21"/>
        <w:adjustRightInd w:val="0"/>
        <w:snapToGrid w:val="0"/>
        <w:spacing w:line="400" w:lineRule="exact"/>
        <w:ind w:firstLine="562" w:firstLineChars="200"/>
        <w:rPr>
          <w:rFonts w:hint="eastAsia" w:eastAsia="仿宋_GB2312"/>
          <w:b/>
          <w:color w:val="000000"/>
          <w:kern w:val="32"/>
          <w:sz w:val="28"/>
          <w:szCs w:val="28"/>
        </w:rPr>
      </w:pPr>
      <w:r>
        <w:rPr>
          <w:rFonts w:hint="eastAsia" w:eastAsia="仿宋_GB2312"/>
          <w:b/>
          <w:color w:val="000000"/>
          <w:kern w:val="32"/>
          <w:sz w:val="28"/>
          <w:szCs w:val="28"/>
        </w:rPr>
        <w:t>3.</w:t>
      </w:r>
      <w:r>
        <w:rPr>
          <w:rFonts w:hint="eastAsia" w:eastAsia="仿宋_GB2312"/>
          <w:b/>
          <w:color w:val="000000"/>
          <w:kern w:val="32"/>
          <w:sz w:val="28"/>
          <w:szCs w:val="28"/>
          <w:lang w:eastAsia="zh-CN"/>
        </w:rPr>
        <w:t>个别子项目</w:t>
      </w:r>
      <w:r>
        <w:rPr>
          <w:rFonts w:hint="eastAsia" w:eastAsia="仿宋_GB2312"/>
          <w:b/>
          <w:color w:val="000000"/>
          <w:kern w:val="32"/>
          <w:sz w:val="28"/>
          <w:szCs w:val="28"/>
        </w:rPr>
        <w:t>多列项目支出，涉及金额人民币12,459,516.80元。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2019年，邻水远丰公司将不属于项目征地拆迁红线图范围内的破石村2、4、9组，新合村1、2、7组，郑家村3、4、5、6组、大佛寺社区3、8组，牌坊村11组，文星村10组等建设用地使用费、耕地补偿费、过渡费、安置费</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12,170,472.80元，以及属于项目范围内但超标准支付的过渡费、安置费</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289,044.00元，共计</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12,459,516.80元在本项目配套资金中列支。审计</w:t>
      </w:r>
      <w:r>
        <w:rPr>
          <w:rFonts w:hint="eastAsia" w:ascii="仿宋_GB2312" w:hAnsi="仿宋_GB2312" w:eastAsia="仿宋_GB2312" w:cs="仿宋_GB2312"/>
          <w:sz w:val="28"/>
          <w:szCs w:val="28"/>
          <w:lang w:eastAsia="zh-CN"/>
        </w:rPr>
        <w:t>指出</w:t>
      </w:r>
      <w:r>
        <w:rPr>
          <w:rFonts w:hint="eastAsia" w:ascii="仿宋_GB2312" w:hAnsi="仿宋_GB2312" w:eastAsia="仿宋_GB2312" w:cs="仿宋_GB2312"/>
          <w:sz w:val="28"/>
          <w:szCs w:val="28"/>
        </w:rPr>
        <w:t>问题后邻水远丰公司对报表进行了调整。</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上述行为违反了《中华人民共和国会计法》第二十六条“公司、企业进行会计核算不得有下列行为：……（三）随意改变费用、成本的确认标准或者计量方法，虚列、多列、不列或者少列费用、成本”的规定。</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办加强对子项目的监管，督促邻水远丰公司追回超标准支付的过渡费和安置费</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289,044.00元，并对会计账务据实进行调整，真实准确反映项目支出，杜绝此类问题再次发生。</w:t>
      </w:r>
      <w:r>
        <w:rPr>
          <w:rFonts w:hint="eastAsia" w:ascii="Calibri" w:hAnsi="Calibri" w:eastAsia="仿宋_GB2312" w:cs="黑体"/>
          <w:kern w:val="2"/>
          <w:sz w:val="28"/>
          <w:szCs w:val="28"/>
          <w:lang w:val="en-US" w:eastAsia="zh-CN"/>
        </w:rPr>
        <w:t>你办已接受审计建议。</w:t>
      </w:r>
    </w:p>
    <w:p>
      <w:pPr>
        <w:pStyle w:val="21"/>
        <w:adjustRightInd w:val="0"/>
        <w:snapToGrid w:val="0"/>
        <w:spacing w:line="400" w:lineRule="exact"/>
        <w:rPr>
          <w:rFonts w:hint="eastAsia" w:eastAsia="仿宋_GB2312"/>
          <w:b/>
          <w:color w:val="000000"/>
          <w:kern w:val="32"/>
          <w:sz w:val="28"/>
          <w:szCs w:val="28"/>
        </w:rPr>
      </w:pPr>
    </w:p>
    <w:p>
      <w:pPr>
        <w:pStyle w:val="21"/>
        <w:adjustRightInd w:val="0"/>
        <w:snapToGrid w:val="0"/>
        <w:spacing w:line="400" w:lineRule="exact"/>
        <w:ind w:firstLine="538" w:firstLineChars="200"/>
        <w:rPr>
          <w:rFonts w:hint="eastAsia" w:eastAsia="仿宋_GB2312"/>
          <w:b/>
          <w:color w:val="000000"/>
          <w:spacing w:val="-6"/>
          <w:kern w:val="32"/>
          <w:sz w:val="28"/>
          <w:szCs w:val="28"/>
        </w:rPr>
      </w:pPr>
      <w:r>
        <w:rPr>
          <w:rFonts w:hint="eastAsia" w:eastAsia="仿宋_GB2312"/>
          <w:b/>
          <w:color w:val="000000"/>
          <w:spacing w:val="-6"/>
          <w:kern w:val="32"/>
          <w:sz w:val="28"/>
          <w:szCs w:val="28"/>
        </w:rPr>
        <w:t>4.个别设备采购行为不规范，涉嫌串通投标，涉及金额人民币797,800.00元。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2017年11月，邻水县职业中学实施的邻水县公共实训中心财经商贸类设备采购项目</w:t>
      </w:r>
      <w:r>
        <w:rPr>
          <w:rFonts w:hint="eastAsia" w:ascii="仿宋_GB2312" w:hAnsi="仿宋_GB2312" w:eastAsia="仿宋_GB2312" w:cs="仿宋_GB2312"/>
          <w:sz w:val="28"/>
          <w:szCs w:val="28"/>
          <w:lang w:eastAsia="zh-CN"/>
        </w:rPr>
        <w:t>，采购金额</w:t>
      </w:r>
      <w:r>
        <w:rPr>
          <w:rFonts w:hint="eastAsia" w:ascii="仿宋_GB2312" w:hAnsi="仿宋_GB2312" w:eastAsia="仿宋_GB2312" w:cs="仿宋_GB2312"/>
          <w:b w:val="0"/>
          <w:color w:val="000000"/>
          <w:spacing w:val="0"/>
          <w:kern w:val="2"/>
          <w:sz w:val="28"/>
          <w:szCs w:val="28"/>
        </w:rPr>
        <w:t>人民</w:t>
      </w:r>
      <w:r>
        <w:rPr>
          <w:rFonts w:hint="eastAsia" w:ascii="仿宋_GB2312" w:hAnsi="仿宋_GB2312" w:eastAsia="仿宋_GB2312" w:cs="仿宋_GB2312"/>
          <w:b w:val="0"/>
          <w:spacing w:val="0"/>
          <w:kern w:val="2"/>
          <w:sz w:val="28"/>
          <w:szCs w:val="28"/>
        </w:rPr>
        <w:t>币797,800.00元</w:t>
      </w:r>
      <w:r>
        <w:rPr>
          <w:rFonts w:hint="eastAsia" w:ascii="仿宋_GB2312" w:hAnsi="仿宋_GB2312" w:eastAsia="仿宋_GB2312" w:cs="仿宋_GB2312"/>
          <w:sz w:val="28"/>
          <w:szCs w:val="28"/>
        </w:rPr>
        <w:t>，存在以下问题：评标人员未按规定通过专家库抽取；参与投标的成都厚创科技有限公司法定代表人与中标单位成都杰林高科科技有限公司授权签订采购合同的人员均为陈</w:t>
      </w:r>
      <w:r>
        <w:rPr>
          <w:rFonts w:hint="eastAsia" w:ascii="仿宋_GB2312" w:hAnsi="仿宋_GB2312" w:eastAsia="仿宋_GB2312" w:cs="仿宋_GB2312"/>
          <w:sz w:val="28"/>
          <w:szCs w:val="28"/>
          <w:lang w:eastAsia="zh-CN"/>
        </w:rPr>
        <w:t>某某</w:t>
      </w:r>
      <w:r>
        <w:rPr>
          <w:rFonts w:hint="eastAsia" w:ascii="仿宋_GB2312" w:hAnsi="仿宋_GB2312" w:eastAsia="仿宋_GB2312" w:cs="仿宋_GB2312"/>
          <w:sz w:val="28"/>
          <w:szCs w:val="28"/>
        </w:rPr>
        <w:t>；成都杰林高科科技有限公司报价文件中翰林提构成说明彩页资料未响应招标文件要求，评标委员会未提出异议。</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违反了《政府采购非招标采购方式管理办法》（2013年财政部第74号令）第七条“询价方式采购的政府采购项目，评审专家应当从政府采购评审专家库内相关专业的专家名单中随机抽取”，《政府采购货物和服务招标投标管理办法 》（2017年财政部第87号令）第三十七条“有下列情形之一的，视为投标人串通投标，其投标无效：……（二）不同投标人委托同一单位或者个人办理投标事宜”和《评标委员会和评标方法暂行规定》（2013年国家发改委 工信部 财政部第23号令）第二十三条“评标委员会应当审查每一投标文件是否对招标文件提出的所有实质性要求和条件作出响应”的规定。</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办督促邻水县职业中学追究相关单位和人员责任，今后要强化采购管理，严格执行政府采购相关规定，杜绝此类问题再次发生。</w:t>
      </w:r>
      <w:r>
        <w:rPr>
          <w:rFonts w:hint="eastAsia" w:ascii="Calibri" w:hAnsi="Calibri" w:eastAsia="仿宋_GB2312" w:cs="黑体"/>
          <w:kern w:val="2"/>
          <w:sz w:val="28"/>
          <w:szCs w:val="28"/>
          <w:lang w:val="en-US" w:eastAsia="zh-CN"/>
        </w:rPr>
        <w:t>你办已接受审计建议。</w:t>
      </w:r>
    </w:p>
    <w:p>
      <w:pPr>
        <w:pStyle w:val="24"/>
        <w:widowControl/>
        <w:spacing w:line="400" w:lineRule="exact"/>
        <w:ind w:firstLine="551" w:firstLineChars="196"/>
        <w:jc w:val="left"/>
        <w:rPr>
          <w:rFonts w:hint="eastAsia" w:ascii="宋体" w:hAnsi="宋体"/>
          <w:b/>
          <w:color w:val="000000"/>
          <w:sz w:val="28"/>
          <w:szCs w:val="28"/>
        </w:rPr>
      </w:pPr>
    </w:p>
    <w:p>
      <w:pPr>
        <w:pStyle w:val="24"/>
        <w:widowControl/>
        <w:spacing w:line="400" w:lineRule="exact"/>
        <w:jc w:val="left"/>
        <w:rPr>
          <w:rFonts w:hint="eastAsia" w:ascii="宋体" w:hAnsi="宋体"/>
          <w:b/>
          <w:color w:val="000000"/>
          <w:sz w:val="28"/>
          <w:szCs w:val="28"/>
        </w:rPr>
      </w:pPr>
      <w:r>
        <w:rPr>
          <w:rFonts w:hint="eastAsia" w:ascii="宋体" w:hAnsi="宋体"/>
          <w:b/>
          <w:color w:val="000000"/>
          <w:sz w:val="28"/>
          <w:szCs w:val="28"/>
        </w:rPr>
        <w:t xml:space="preserve">   （二）项目管理方面存在的问题</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p>
    <w:p>
      <w:pPr>
        <w:pStyle w:val="25"/>
        <w:ind w:firstLine="538" w:firstLineChars="200"/>
        <w:rPr>
          <w:rFonts w:hint="eastAsia"/>
          <w:b/>
          <w:color w:val="000000"/>
          <w:spacing w:val="-11"/>
          <w:kern w:val="32"/>
          <w:lang w:val="en-US" w:eastAsia="zh-CN"/>
        </w:rPr>
      </w:pPr>
      <w:r>
        <w:rPr>
          <w:rFonts w:hint="eastAsia" w:eastAsia="仿宋_GB2312"/>
          <w:b/>
          <w:color w:val="000000"/>
          <w:spacing w:val="-6"/>
          <w:kern w:val="32"/>
          <w:sz w:val="28"/>
          <w:szCs w:val="28"/>
        </w:rPr>
        <w:t xml:space="preserve"> </w:t>
      </w:r>
      <w:r>
        <w:rPr>
          <w:rFonts w:hint="eastAsia"/>
          <w:b/>
          <w:color w:val="000000"/>
          <w:spacing w:val="-11"/>
          <w:kern w:val="32"/>
          <w:lang w:val="en-US" w:eastAsia="zh-CN"/>
        </w:rPr>
        <w:t>1.部分工程未经批准实施工程变更，涉及金额人民币29,932,554.87元。</w:t>
      </w:r>
    </w:p>
    <w:p>
      <w:pPr>
        <w:pStyle w:val="22"/>
        <w:spacing w:line="40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（1）邻水远丰公司组织实施的邻水县一号道路</w:t>
      </w:r>
      <w:r>
        <w:rPr>
          <w:rFonts w:hint="eastAsia" w:ascii="仿宋_GB2312" w:hAnsi="仿宋_GB2312" w:eastAsia="仿宋_GB2312" w:cs="仿宋_GB2312"/>
          <w:sz w:val="28"/>
          <w:szCs w:val="28"/>
          <w:lang w:eastAsia="zh-CN"/>
        </w:rPr>
        <w:t>施工</w:t>
      </w:r>
      <w:r>
        <w:rPr>
          <w:rFonts w:hint="eastAsia" w:ascii="仿宋_GB2312" w:hAnsi="仿宋_GB2312" w:eastAsia="仿宋_GB2312" w:cs="仿宋_GB2312"/>
          <w:sz w:val="28"/>
          <w:szCs w:val="28"/>
        </w:rPr>
        <w:t>土建工程</w:t>
      </w:r>
      <w:r>
        <w:rPr>
          <w:rFonts w:hint="eastAsia" w:ascii="仿宋_GB2312" w:hAnsi="仿宋_GB2312" w:eastAsia="仿宋_GB2312" w:cs="仿宋_GB2312"/>
          <w:sz w:val="28"/>
          <w:szCs w:val="28"/>
          <w:lang w:val="en-US" w:eastAsia="zh-CN"/>
        </w:rPr>
        <w:t>项目AK2+947.5～AK3+199.2堰塘段换填，</w:t>
      </w:r>
      <w:r>
        <w:rPr>
          <w:rFonts w:hint="eastAsia" w:ascii="仿宋_GB2312" w:hAnsi="仿宋_GB2312" w:eastAsia="仿宋_GB2312" w:cs="仿宋_GB2312"/>
          <w:sz w:val="28"/>
          <w:szCs w:val="28"/>
        </w:rPr>
        <w:t>未按规定履行工程变更审批手续进行变更，变更增加投资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lang w:val="en-US" w:eastAsia="zh-CN"/>
        </w:rPr>
        <w:t>10,253,965.89元。</w:t>
      </w:r>
    </w:p>
    <w:p>
      <w:pPr>
        <w:pStyle w:val="22"/>
        <w:adjustRightInd/>
        <w:snapToGrid/>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邻水远丰公司组织实施的截污干管、污水处理厂、进场管道及尾水排放工程，未按规定履行工程变更审批手续，共进行了6次变更，变更增加投资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7,161,232.43元。</w:t>
      </w:r>
    </w:p>
    <w:p>
      <w:pPr>
        <w:pStyle w:val="22"/>
        <w:spacing w:line="400" w:lineRule="exact"/>
        <w:ind w:firstLine="480" w:firstLineChars="200"/>
        <w:rPr>
          <w:rFonts w:hint="default" w:eastAsia="仿宋_GB2312"/>
          <w:lang w:val="en-US" w:eastAsia="zh-CN"/>
        </w:rPr>
      </w:pPr>
      <w:r>
        <w:rPr>
          <w:rFonts w:hint="eastAsia" w:eastAsia="仿宋_GB2312"/>
          <w:lang w:val="en-US" w:eastAsia="zh-CN"/>
        </w:rPr>
        <w:t xml:space="preserve"> （3）</w:t>
      </w:r>
      <w:r>
        <w:rPr>
          <w:rFonts w:hint="eastAsia" w:ascii="仿宋_GB2312" w:hAnsi="仿宋_GB2312" w:eastAsia="仿宋_GB2312" w:cs="仿宋_GB2312"/>
          <w:sz w:val="28"/>
          <w:szCs w:val="28"/>
        </w:rPr>
        <w:t>广安鑫鸿公司组织实施的前锋区芦溪河景观改造工程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未按规定履行工程变更审批手续，</w:t>
      </w:r>
      <w:r>
        <w:rPr>
          <w:rFonts w:hint="eastAsia" w:ascii="仿宋_GB2312" w:hAnsi="仿宋_GB2312" w:eastAsia="仿宋_GB2312" w:cs="仿宋_GB2312"/>
          <w:sz w:val="28"/>
          <w:szCs w:val="28"/>
          <w:lang w:val="en-US" w:eastAsia="zh-CN"/>
        </w:rPr>
        <w:t>先变更后补办变更审批手续，</w:t>
      </w:r>
      <w:r>
        <w:rPr>
          <w:rFonts w:hint="eastAsia" w:ascii="仿宋_GB2312" w:hAnsi="仿宋_GB2312" w:eastAsia="仿宋_GB2312" w:cs="仿宋_GB2312"/>
          <w:sz w:val="28"/>
          <w:szCs w:val="28"/>
        </w:rPr>
        <w:t>共进行了</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次变更，变更增加投资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669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206</w:t>
      </w:r>
      <w:r>
        <w:rPr>
          <w:rFonts w:hint="eastAsia" w:ascii="仿宋_GB2312" w:hAnsi="仿宋_GB2312" w:eastAsia="仿宋_GB2312" w:cs="仿宋_GB2312"/>
          <w:sz w:val="28"/>
          <w:szCs w:val="28"/>
        </w:rPr>
        <w:t>.43元。</w:t>
      </w:r>
      <w:r>
        <w:rPr>
          <w:rFonts w:hint="eastAsia" w:ascii="仿宋_GB2312" w:hAnsi="仿宋_GB2312" w:eastAsia="仿宋_GB2312" w:cs="仿宋_GB2312"/>
          <w:sz w:val="28"/>
          <w:szCs w:val="28"/>
          <w:lang w:val="en-US" w:eastAsia="zh-CN"/>
        </w:rPr>
        <w:t>且变更审批预估金额为</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lang w:val="en-US" w:eastAsia="zh-CN"/>
        </w:rPr>
        <w:t>324万元，占原合同金额的18.5%，远小于变更实际增加投资金额</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en-US" w:eastAsia="zh-CN"/>
        </w:rPr>
        <w:t>669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206</w:t>
      </w:r>
      <w:r>
        <w:rPr>
          <w:rFonts w:hint="eastAsia" w:ascii="仿宋_GB2312" w:hAnsi="仿宋_GB2312" w:eastAsia="仿宋_GB2312" w:cs="仿宋_GB2312"/>
          <w:sz w:val="28"/>
          <w:szCs w:val="28"/>
        </w:rPr>
        <w:t>.43元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）广安鑫鸿公司组织实施的前锋区芦溪河两岸截污干管工程，未按规定履行工程变更审批手续，共进行了10次变更，变更增加投资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4,848,150.12元。该工程于2017年12月31日竣工，但于2019年4月才补办变更审批手续，区世行办、区财政局、区发改局等审批部门未经核实在“变更审批表”上签字同意。</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违反了《邻水县人民政府关于印发进一步加强政府投资项目监督管理规定（修订）的通知》（邻府发〔2016〕18号）第二十七条“工程变更按照以下程序进行审批……确需变更的应当遵循科学、合理、真实、经济和及时的原则，办理工程变更手续……项目建设单位在报送变更评审资料时，需提供《邻水县政府投资工程建设项目工程变更审批表》原件”和《前锋区人民政府关于印发政府投资建设项目工程变更审查办法（修订）的通知》（前府发〔2015〕40号）第六条“所有国家投资工程建设项目的变更严格执行‘一事一议，严格审批、先审批后实施’的原则，不准先变更实施后再申报审批</w:t>
      </w:r>
      <w:r>
        <w:rPr>
          <w:rFonts w:hint="default" w:ascii="Arial" w:hAnsi="Arial" w:eastAsia="仿宋_GB2312" w:cs="Arial"/>
          <w:sz w:val="28"/>
          <w:szCs w:val="28"/>
        </w:rPr>
        <w:t>……</w:t>
      </w:r>
      <w:r>
        <w:rPr>
          <w:rFonts w:hint="eastAsia" w:ascii="仿宋_GB2312" w:hAnsi="仿宋_GB2312" w:eastAsia="仿宋_GB2312" w:cs="仿宋_GB2312"/>
          <w:sz w:val="28"/>
          <w:szCs w:val="28"/>
          <w:lang w:eastAsia="zh-CN"/>
        </w:rPr>
        <w:t>项目总投资</w:t>
      </w:r>
      <w:r>
        <w:rPr>
          <w:rFonts w:hint="eastAsia" w:ascii="仿宋_GB2312" w:hAnsi="仿宋_GB2312" w:eastAsia="仿宋_GB2312" w:cs="仿宋_GB2312"/>
          <w:sz w:val="28"/>
          <w:szCs w:val="28"/>
          <w:lang w:val="en-US" w:eastAsia="zh-CN"/>
        </w:rPr>
        <w:t>100万元及以上的工程变更累计金额超过合同价20%的，由监察机关组织调查并按上述程序报批后，方能实施变更</w:t>
      </w:r>
      <w:r>
        <w:rPr>
          <w:rFonts w:hint="eastAsia" w:ascii="仿宋_GB2312" w:hAnsi="仿宋_GB2312" w:eastAsia="仿宋_GB2312" w:cs="仿宋_GB2312"/>
          <w:sz w:val="28"/>
          <w:szCs w:val="28"/>
        </w:rPr>
        <w:t>”的规定。</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办加强工程变更监管，及时查处纠正随意变更行为，确保变更科学合理、真实经济，并督促邻水远丰公司、广安鑫鸿公司进行整改，今后严格执行工程变更审批有关规定，杜绝此类问题再次发生。</w:t>
      </w:r>
      <w:r>
        <w:rPr>
          <w:rFonts w:hint="eastAsia" w:ascii="Calibri" w:hAnsi="Calibri" w:eastAsia="仿宋_GB2312" w:cs="黑体"/>
          <w:kern w:val="2"/>
          <w:sz w:val="28"/>
          <w:szCs w:val="28"/>
          <w:lang w:val="en-US" w:eastAsia="zh-CN"/>
        </w:rPr>
        <w:t>你办已接受审计建议。</w:t>
      </w:r>
    </w:p>
    <w:p>
      <w:pPr>
        <w:pStyle w:val="22"/>
        <w:rPr>
          <w:rFonts w:hint="eastAsia"/>
        </w:rPr>
      </w:pPr>
    </w:p>
    <w:p>
      <w:pPr>
        <w:pStyle w:val="21"/>
        <w:adjustRightInd w:val="0"/>
        <w:snapToGrid w:val="0"/>
        <w:spacing w:line="400" w:lineRule="exact"/>
        <w:ind w:firstLine="538" w:firstLineChars="200"/>
        <w:rPr>
          <w:rFonts w:hint="eastAsia" w:eastAsia="仿宋_GB2312"/>
          <w:b/>
          <w:color w:val="000000"/>
          <w:spacing w:val="-6"/>
          <w:kern w:val="32"/>
          <w:sz w:val="28"/>
          <w:szCs w:val="28"/>
        </w:rPr>
      </w:pPr>
      <w:r>
        <w:rPr>
          <w:rFonts w:hint="eastAsia" w:eastAsia="仿宋_GB2312"/>
          <w:b/>
          <w:color w:val="000000"/>
          <w:spacing w:val="-6"/>
          <w:kern w:val="32"/>
          <w:sz w:val="28"/>
          <w:szCs w:val="28"/>
          <w:lang w:val="en-US" w:eastAsia="zh-CN"/>
        </w:rPr>
        <w:t>2</w:t>
      </w:r>
      <w:r>
        <w:rPr>
          <w:rFonts w:hint="eastAsia" w:eastAsia="仿宋_GB2312"/>
          <w:b/>
          <w:color w:val="000000"/>
          <w:spacing w:val="-6"/>
          <w:kern w:val="32"/>
          <w:sz w:val="28"/>
          <w:szCs w:val="28"/>
        </w:rPr>
        <w:t>.部分工程项目长期未办理结算，涉及金额人民币62,552,700.00元。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广安鑫鸿公司组织实施的前锋区芦溪河两岸截污干管土建工程、芦溪河景观改造工程,分别于201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日、2018年4月20日竣工</w:t>
      </w:r>
      <w:r>
        <w:rPr>
          <w:rFonts w:hint="eastAsia" w:ascii="仿宋_GB2312" w:hAnsi="仿宋_GB2312" w:eastAsia="仿宋_GB2312" w:cs="仿宋_GB2312"/>
          <w:sz w:val="28"/>
          <w:szCs w:val="28"/>
          <w:lang w:eastAsia="zh-CN"/>
        </w:rPr>
        <w:t>验收</w:t>
      </w:r>
      <w:r>
        <w:rPr>
          <w:rFonts w:hint="eastAsia" w:ascii="仿宋_GB2312" w:hAnsi="仿宋_GB2312" w:eastAsia="仿宋_GB2312" w:cs="仿宋_GB2312"/>
          <w:sz w:val="28"/>
          <w:szCs w:val="28"/>
        </w:rPr>
        <w:t>，截至2020年4月27日，广安鑫鸿公司以未完善竣工资料为由，尚未办理工程结算。2个项目资料反映完成投资分别为</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42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572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700.00元、</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980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000.00元。</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上述做法违反了《基本建设财务规则》（2016年财政部第81号令）第二十八条“竣工价款结算一般应当在项目竣工验收后2个月内完成，大型项目一般不得超过3个月”的规定。</w:t>
      </w:r>
    </w:p>
    <w:p>
      <w:pPr>
        <w:pStyle w:val="21"/>
        <w:adjustRightInd w:val="0"/>
        <w:snapToGrid w:val="0"/>
        <w:ind w:firstLine="560" w:firstLineChars="200"/>
        <w:rPr>
          <w:rFonts w:hint="eastAsia"/>
          <w:lang w:val="en-US" w:eastAsia="zh-CN"/>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办高度重视结算办理不及时的问题，督促广安鑫鸿公司庚即组织完善竣工资料，办理工程竣工结算，杜绝此类问题再次发生。</w:t>
      </w:r>
      <w:r>
        <w:rPr>
          <w:rFonts w:hint="eastAsia" w:ascii="Calibri" w:hAnsi="Calibri" w:eastAsia="仿宋_GB2312" w:cs="黑体"/>
          <w:kern w:val="2"/>
          <w:sz w:val="28"/>
          <w:szCs w:val="28"/>
          <w:lang w:val="en-US" w:eastAsia="zh-CN"/>
        </w:rPr>
        <w:t>你办已接受审计建议。</w:t>
      </w:r>
    </w:p>
    <w:p>
      <w:pPr>
        <w:pStyle w:val="22"/>
        <w:spacing w:line="400" w:lineRule="exact"/>
        <w:ind w:firstLine="560" w:firstLineChars="200"/>
        <w:rPr>
          <w:rFonts w:ascii="仿宋_GB2312" w:hAnsi="仿宋_GB2312" w:eastAsia="仿宋_GB2312" w:cs="仿宋_GB2312"/>
          <w:sz w:val="28"/>
          <w:szCs w:val="28"/>
          <w:lang w:val="en-US" w:eastAsia="zh-CN"/>
        </w:rPr>
      </w:pPr>
    </w:p>
    <w:p>
      <w:pPr>
        <w:pStyle w:val="25"/>
        <w:ind w:firstLine="562" w:firstLineChars="200"/>
        <w:rPr>
          <w:rFonts w:hint="eastAsia"/>
          <w:b/>
          <w:color w:val="000000"/>
          <w:kern w:val="32"/>
          <w:lang w:val="en-US" w:eastAsia="zh-CN"/>
        </w:rPr>
      </w:pPr>
      <w:r>
        <w:rPr>
          <w:rFonts w:hint="eastAsia"/>
          <w:b/>
          <w:color w:val="000000"/>
          <w:kern w:val="32"/>
          <w:lang w:val="en-US" w:eastAsia="zh-CN"/>
        </w:rPr>
        <w:t>3.个别子项目单位接受不符合合同约定的履约保函，保函兑现存在风险。</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2019年11月，四川亚创华飞科技有限公司按合同要求向邻水县职业中学提供《机械电子类》、《汽车维修类》工程履约保函，但上述保函均在合同约定的保函格式之外附加“（二）证明保函申请人有上述违约事实的证据或证明材料并由保函申请人签章确认”等不利于业主单位的条件，保函兑现存在风险。</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行为不符合邻水县职业中学与中标单位签订的《机械电子类设备采购合同》、《汽车维修类设备采购合同》第七款“履约保证金（保函）格式约定‘在收到买方第一次书面要求，说明卖方违背了合同规定后，我方将不可撤销地向你方支付保证金’”的规定。</w:t>
      </w:r>
    </w:p>
    <w:p>
      <w:pPr>
        <w:pStyle w:val="21"/>
        <w:adjustRightInd w:val="0"/>
        <w:snapToGrid w:val="0"/>
        <w:spacing w:line="4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w:t>
      </w:r>
      <w:r>
        <w:rPr>
          <w:rFonts w:hint="eastAsia" w:ascii="仿宋_GB2312" w:hAnsi="仿宋_GB2312" w:eastAsia="仿宋_GB2312" w:cs="仿宋_GB2312"/>
          <w:sz w:val="28"/>
          <w:szCs w:val="28"/>
          <w:lang w:eastAsia="zh-CN"/>
        </w:rPr>
        <w:t>你</w:t>
      </w:r>
      <w:r>
        <w:rPr>
          <w:rFonts w:hint="eastAsia" w:ascii="仿宋_GB2312" w:hAnsi="仿宋_GB2312" w:eastAsia="仿宋_GB2312" w:cs="仿宋_GB2312"/>
          <w:sz w:val="28"/>
          <w:szCs w:val="28"/>
        </w:rPr>
        <w:t>办督促邻水县职业中学要求中标单位按照合同约定，及时提供有效的履约担保，杜绝此类问题再次发生。</w:t>
      </w:r>
      <w:r>
        <w:rPr>
          <w:rFonts w:hint="eastAsia" w:ascii="Calibri" w:hAnsi="Calibri" w:eastAsia="仿宋_GB2312" w:cs="黑体"/>
          <w:kern w:val="2"/>
          <w:sz w:val="28"/>
          <w:szCs w:val="28"/>
          <w:lang w:val="en-US" w:eastAsia="zh-CN"/>
        </w:rPr>
        <w:t>你办已接受审计建议。</w:t>
      </w:r>
    </w:p>
    <w:p>
      <w:pPr>
        <w:pStyle w:val="24"/>
        <w:adjustRightInd w:val="0"/>
        <w:snapToGrid w:val="0"/>
        <w:spacing w:line="400" w:lineRule="exact"/>
        <w:ind w:firstLine="562" w:firstLineChars="200"/>
        <w:rPr>
          <w:rFonts w:hint="eastAsia" w:eastAsia="仿宋_GB2312"/>
          <w:b/>
          <w:color w:val="000000"/>
          <w:kern w:val="32"/>
          <w:sz w:val="28"/>
          <w:szCs w:val="28"/>
        </w:rPr>
      </w:pPr>
    </w:p>
    <w:p>
      <w:pPr>
        <w:pStyle w:val="24"/>
        <w:adjustRightInd w:val="0"/>
        <w:snapToGrid w:val="0"/>
        <w:spacing w:line="400" w:lineRule="exact"/>
        <w:ind w:firstLine="562" w:firstLineChars="200"/>
        <w:rPr>
          <w:rFonts w:hint="eastAsia" w:eastAsia="仿宋_GB2312"/>
          <w:b/>
          <w:color w:val="000000"/>
          <w:kern w:val="32"/>
          <w:sz w:val="28"/>
          <w:szCs w:val="28"/>
        </w:rPr>
      </w:pPr>
      <w:r>
        <w:rPr>
          <w:rFonts w:hint="eastAsia" w:eastAsia="仿宋_GB2312"/>
          <w:b/>
          <w:color w:val="000000"/>
          <w:kern w:val="32"/>
          <w:sz w:val="28"/>
          <w:szCs w:val="28"/>
        </w:rPr>
        <w:t>4.业主监管不力，监理人员履职不到位，部分施工单位擅自变更</w:t>
      </w:r>
      <w:r>
        <w:rPr>
          <w:rFonts w:hint="eastAsia" w:eastAsia="仿宋_GB2312"/>
          <w:b/>
          <w:color w:val="000000"/>
          <w:kern w:val="32"/>
          <w:sz w:val="28"/>
          <w:szCs w:val="28"/>
          <w:lang w:val="en-US" w:eastAsia="zh-CN"/>
        </w:rPr>
        <w:t>现场派驻</w:t>
      </w:r>
      <w:r>
        <w:rPr>
          <w:rFonts w:hint="eastAsia" w:eastAsia="仿宋_GB2312"/>
          <w:b/>
          <w:color w:val="000000"/>
          <w:kern w:val="32"/>
          <w:sz w:val="28"/>
          <w:szCs w:val="28"/>
        </w:rPr>
        <w:t>人员。</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2020年4月，现场抽查发现，</w:t>
      </w:r>
      <w:r>
        <w:rPr>
          <w:rFonts w:hint="eastAsia" w:ascii="仿宋_GB2312" w:hAnsi="仿宋_GB2312" w:cs="仿宋_GB2312"/>
        </w:rPr>
        <w:t>邻水远丰公司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截污干管工程、污水处理厂工程、进厂管道及尾水排放工程项目施工单位现场派驻的4名人员均不是合同约定人员，人员变更未履行书面手续；</w:t>
      </w:r>
      <w:r>
        <w:rPr>
          <w:rFonts w:hint="eastAsia" w:ascii="仿宋_GB2312" w:hAnsi="仿宋_GB2312" w:cs="仿宋_GB2312"/>
        </w:rPr>
        <w:t>邻水远丰公司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一号路道路土建工程、二三四五号路道路土建工程，以及</w:t>
      </w:r>
      <w:r>
        <w:rPr>
          <w:rFonts w:hint="eastAsia" w:ascii="仿宋_GB2312" w:hAnsi="仿宋_GB2312" w:cs="仿宋_GB2312"/>
          <w:lang w:val="en-US" w:eastAsia="zh-CN"/>
        </w:rPr>
        <w:t>广安鑫鸿公司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前锋区工业园区基础设施工业大道建设工程、滨河南路建设工程、前锋区芦溪河物流园区段景观工程、前锋区谢家湾公园工程等6个项目，施工合同约定的现场派驻人员部分未在现场，监理单位未对上述行为提出异议；滨河南路建设工程总工程师陈某某在同一时间段兼任邛崃市道佐至火井农村公路工程的项目经理。</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上述行为违反了《建设工程监理规范GB50319-2013》第3.2.4条“监理员应履行以下职责：……1.检查承包单位投入工程项目的人力、材料、主要设备及其使用、运行状况，并做好检查记录”、原建设部以（建市〔2008〕48号）通知印发的《注册建造师执业管理办法》（试行）第九条“注册建造师不得同时担任两个及以上建设工程施工项目负责人”的规定。</w:t>
      </w:r>
    </w:p>
    <w:p>
      <w:pPr>
        <w:pStyle w:val="25"/>
        <w:ind w:firstLine="560" w:firstLineChars="200"/>
        <w:rPr>
          <w:rFonts w:hint="eastAsia" w:eastAsia="方正仿宋_GBK"/>
          <w:lang w:val="en-US" w:eastAsia="zh-CN"/>
        </w:rPr>
      </w:pPr>
      <w:r>
        <w:rPr>
          <w:rFonts w:hint="eastAsia" w:ascii="仿宋_GB2312" w:hAnsi="仿宋_GB2312" w:cs="仿宋_GB2312"/>
          <w:kern w:val="2"/>
          <w:lang w:val="en-US" w:eastAsia="zh-CN"/>
        </w:rPr>
        <w:t>建议你办强化子项目人员到位情况监管，督促邻水远丰公司、广安鑫鸿公司对相关责任人严肃问责，并根据合同约定依法追究施工单位、监理单位违约责任，今后应加强施工现场人员管理，杜绝此类问题再次发生。</w:t>
      </w:r>
      <w:r>
        <w:rPr>
          <w:rFonts w:hint="eastAsia" w:ascii="Calibri" w:hAnsi="Calibri" w:eastAsia="仿宋_GB2312" w:cs="黑体"/>
          <w:kern w:val="2"/>
          <w:sz w:val="28"/>
          <w:szCs w:val="28"/>
          <w:lang w:val="en-US" w:eastAsia="zh-CN"/>
        </w:rPr>
        <w:t>你办已接受审计建议。</w:t>
      </w:r>
    </w:p>
    <w:p>
      <w:pPr>
        <w:pStyle w:val="22"/>
        <w:spacing w:line="400" w:lineRule="exact"/>
        <w:rPr>
          <w:rFonts w:hint="eastAsia"/>
          <w:lang w:val="en-US" w:eastAsia="zh-CN"/>
        </w:rPr>
      </w:pPr>
    </w:p>
    <w:p>
      <w:pPr>
        <w:pStyle w:val="21"/>
        <w:widowControl/>
        <w:adjustRightInd w:val="0"/>
        <w:snapToGrid w:val="0"/>
        <w:spacing w:line="400" w:lineRule="exact"/>
        <w:ind w:firstLine="561"/>
        <w:rPr>
          <w:rFonts w:hint="eastAsia" w:eastAsia="仿宋_GB2312"/>
          <w:b/>
          <w:color w:val="000000"/>
          <w:kern w:val="32"/>
          <w:sz w:val="28"/>
          <w:szCs w:val="28"/>
        </w:rPr>
      </w:pPr>
      <w:r>
        <w:rPr>
          <w:rFonts w:hint="eastAsia" w:eastAsia="仿宋_GB2312"/>
          <w:b/>
          <w:color w:val="000000"/>
          <w:kern w:val="32"/>
          <w:sz w:val="28"/>
          <w:szCs w:val="28"/>
        </w:rPr>
        <w:t>5.</w:t>
      </w:r>
      <w:r>
        <w:rPr>
          <w:rFonts w:hint="eastAsia" w:eastAsia="仿宋_GB2312"/>
          <w:b/>
          <w:color w:val="000000"/>
          <w:kern w:val="32"/>
          <w:sz w:val="28"/>
          <w:szCs w:val="28"/>
          <w:lang w:eastAsia="zh-CN"/>
        </w:rPr>
        <w:t>个别子项目单位</w:t>
      </w:r>
      <w:r>
        <w:rPr>
          <w:rFonts w:hint="eastAsia" w:eastAsia="仿宋_GB2312"/>
          <w:b/>
          <w:color w:val="000000"/>
          <w:kern w:val="32"/>
          <w:sz w:val="28"/>
          <w:szCs w:val="28"/>
        </w:rPr>
        <w:t>接待费开支不规范。</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2019年，邻水远丰公司(国有企业)累计发生公务接待费</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11,259.00元，均无公务接待函，其中非外事接待费</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5,027.00元。</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上述行为违反了《党政机关国内公务接待管理规定》第十四条“接待费报销凭证应当包括……派出单位公函”、第二十四条“国有企业......参照本规定执行”和《利用世界银行贷款川渝合作示范区（广安）基础设施建设项目财务管理手册》第十三条“项目管理费开支范围是实施本项目管理的必要支出，主要用于……外事接待费等支出”的规定。</w:t>
      </w:r>
    </w:p>
    <w:p>
      <w:pPr>
        <w:pStyle w:val="25"/>
        <w:ind w:firstLine="560" w:firstLineChars="200"/>
        <w:rPr>
          <w:rFonts w:hint="eastAsia" w:ascii="仿宋_GB2312" w:hAnsi="仿宋_GB2312" w:cs="仿宋_GB2312"/>
          <w:kern w:val="2"/>
          <w:lang w:val="en-US" w:eastAsia="zh-CN"/>
        </w:rPr>
      </w:pPr>
      <w:r>
        <w:rPr>
          <w:rFonts w:ascii="仿宋_GB2312" w:hAnsi="仿宋_GB2312" w:cs="仿宋_GB2312"/>
          <w:kern w:val="2"/>
          <w:lang w:val="en-US" w:eastAsia="zh-CN"/>
        </w:rPr>
        <w:t>建议</w:t>
      </w:r>
      <w:r>
        <w:rPr>
          <w:rFonts w:hint="eastAsia" w:ascii="仿宋_GB2312" w:hAnsi="仿宋_GB2312" w:cs="仿宋_GB2312"/>
          <w:kern w:val="2"/>
          <w:lang w:val="en-US" w:eastAsia="zh-CN"/>
        </w:rPr>
        <w:t>你办</w:t>
      </w:r>
      <w:r>
        <w:rPr>
          <w:rFonts w:ascii="仿宋_GB2312" w:hAnsi="仿宋_GB2312" w:cs="仿宋_GB2312"/>
          <w:kern w:val="2"/>
          <w:lang w:val="en-US" w:eastAsia="zh-CN"/>
        </w:rPr>
        <w:t>督促</w:t>
      </w:r>
      <w:r>
        <w:rPr>
          <w:rFonts w:hint="eastAsia" w:ascii="仿宋_GB2312" w:hAnsi="仿宋_GB2312" w:cs="仿宋_GB2312"/>
          <w:kern w:val="2"/>
          <w:lang w:val="en-US" w:eastAsia="zh-CN"/>
        </w:rPr>
        <w:t>邻水</w:t>
      </w:r>
      <w:r>
        <w:rPr>
          <w:rFonts w:ascii="仿宋_GB2312" w:hAnsi="仿宋_GB2312" w:cs="仿宋_GB2312"/>
          <w:kern w:val="2"/>
          <w:lang w:val="en-US" w:eastAsia="zh-CN"/>
        </w:rPr>
        <w:t>远丰公司</w:t>
      </w:r>
      <w:r>
        <w:rPr>
          <w:rFonts w:hint="eastAsia" w:ascii="仿宋_GB2312" w:hAnsi="仿宋_GB2312" w:cs="仿宋_GB2312"/>
          <w:kern w:val="2"/>
          <w:lang w:val="en-US" w:eastAsia="zh-CN"/>
        </w:rPr>
        <w:t>严格执行公务接待和项目财务管理有关规定，杜绝此类问题再次发生</w:t>
      </w:r>
      <w:r>
        <w:rPr>
          <w:rFonts w:ascii="仿宋_GB2312" w:hAnsi="仿宋_GB2312" w:cs="仿宋_GB2312"/>
          <w:kern w:val="2"/>
          <w:lang w:val="en-US" w:eastAsia="zh-CN"/>
        </w:rPr>
        <w:t>。</w:t>
      </w:r>
      <w:r>
        <w:rPr>
          <w:rFonts w:hint="eastAsia" w:ascii="Calibri" w:hAnsi="Calibri" w:eastAsia="仿宋_GB2312" w:cs="黑体"/>
          <w:kern w:val="2"/>
          <w:sz w:val="28"/>
          <w:szCs w:val="28"/>
          <w:lang w:val="en-US" w:eastAsia="zh-CN"/>
        </w:rPr>
        <w:t>你办已接受审计建议。</w:t>
      </w:r>
    </w:p>
    <w:p>
      <w:pPr>
        <w:pStyle w:val="22"/>
        <w:spacing w:line="400" w:lineRule="exact"/>
        <w:rPr>
          <w:lang w:val="en-US" w:eastAsia="zh-CN"/>
        </w:rPr>
      </w:pPr>
    </w:p>
    <w:p>
      <w:pPr>
        <w:pStyle w:val="24"/>
        <w:widowControl/>
        <w:spacing w:line="400" w:lineRule="exact"/>
        <w:ind w:firstLine="551" w:firstLineChars="196"/>
        <w:jc w:val="left"/>
        <w:rPr>
          <w:rFonts w:hint="eastAsia" w:ascii="宋体" w:hAnsi="宋体"/>
          <w:b/>
          <w:color w:val="000000"/>
          <w:kern w:val="32"/>
          <w:sz w:val="28"/>
          <w:szCs w:val="28"/>
        </w:rPr>
      </w:pPr>
      <w:r>
        <w:rPr>
          <w:rFonts w:hint="eastAsia" w:ascii="宋体" w:hAnsi="宋体"/>
          <w:b/>
          <w:color w:val="000000"/>
          <w:kern w:val="32"/>
          <w:sz w:val="28"/>
          <w:szCs w:val="28"/>
        </w:rPr>
        <w:t>(三）项目绩效方面存在的问题</w:t>
      </w:r>
    </w:p>
    <w:p>
      <w:pPr>
        <w:pStyle w:val="24"/>
        <w:widowControl/>
        <w:spacing w:line="400" w:lineRule="exact"/>
        <w:ind w:firstLine="551" w:firstLineChars="196"/>
        <w:jc w:val="left"/>
        <w:rPr>
          <w:rFonts w:hint="eastAsia" w:eastAsia="仿宋_GB2312"/>
          <w:b/>
          <w:color w:val="000000"/>
          <w:kern w:val="32"/>
          <w:sz w:val="28"/>
          <w:szCs w:val="28"/>
        </w:rPr>
      </w:pPr>
    </w:p>
    <w:p>
      <w:pPr>
        <w:pStyle w:val="21"/>
        <w:widowControl/>
        <w:adjustRightInd w:val="0"/>
        <w:snapToGrid w:val="0"/>
        <w:spacing w:line="400" w:lineRule="exact"/>
        <w:ind w:firstLine="561"/>
        <w:rPr>
          <w:rFonts w:hint="eastAsia" w:eastAsia="仿宋_GB2312"/>
          <w:b/>
          <w:color w:val="000000"/>
          <w:kern w:val="32"/>
          <w:sz w:val="28"/>
          <w:szCs w:val="28"/>
        </w:rPr>
      </w:pPr>
      <w:r>
        <w:rPr>
          <w:rFonts w:hint="eastAsia" w:eastAsia="仿宋_GB2312"/>
          <w:b/>
          <w:color w:val="000000"/>
          <w:kern w:val="32"/>
          <w:sz w:val="28"/>
          <w:szCs w:val="28"/>
        </w:rPr>
        <w:t>1.</w:t>
      </w:r>
      <w:r>
        <w:rPr>
          <w:rFonts w:hint="eastAsia" w:eastAsia="仿宋_GB2312"/>
          <w:b/>
          <w:color w:val="000000"/>
          <w:kern w:val="32"/>
          <w:sz w:val="28"/>
          <w:szCs w:val="28"/>
          <w:lang w:eastAsia="zh-CN"/>
        </w:rPr>
        <w:t>个别子项目单位</w:t>
      </w:r>
      <w:r>
        <w:rPr>
          <w:rFonts w:hint="eastAsia" w:eastAsia="仿宋_GB2312"/>
          <w:b/>
          <w:color w:val="000000"/>
          <w:kern w:val="32"/>
          <w:sz w:val="28"/>
          <w:szCs w:val="28"/>
        </w:rPr>
        <w:t>部分设备长期闲置，未能发挥使用效益，涉及金额人民币7,639,364.00元。</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（1）邻水县职业中学实施的电子类设备采购项目，设备于2019年3月27日到货，金额</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5,659,300.00元。截至2020年4月2日，电工基本技能、工业自动化等7个实训室未安装使用，涉及金额</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4,710,700.00元，占采购设备金额的83.24%。</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（2）邻水县职业中学实施的汽车维修类设备采购项目，2018年10月10日至2019年3月26日分三批次到货，累计金额</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4,316,700.00元。截至2020年4月2日，汽车底盘测功机、机动车前照灯检验仪等设备未安装使用，涉及金额</w:t>
      </w:r>
      <w:r>
        <w:rPr>
          <w:rFonts w:hint="eastAsia" w:ascii="仿宋_GB2312" w:hAnsi="仿宋_GB2312" w:eastAsia="仿宋_GB2312" w:cs="仿宋_GB2312"/>
          <w:sz w:val="28"/>
          <w:szCs w:val="28"/>
          <w:lang w:eastAsia="zh-CN"/>
        </w:rPr>
        <w:t>人民币</w:t>
      </w:r>
      <w:r>
        <w:rPr>
          <w:rFonts w:hint="eastAsia" w:ascii="仿宋_GB2312" w:hAnsi="仿宋_GB2312" w:cs="仿宋_GB2312"/>
          <w:kern w:val="2"/>
          <w:lang w:val="en-US" w:eastAsia="zh-CN"/>
        </w:rPr>
        <w:t>2,776,652.00元，占采购设备金额的64.3%。</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建议你办督促邻水县职业中学对已到货设备及时进行安装调试并投入使用，避免设备长期闲置浪费。</w:t>
      </w:r>
      <w:r>
        <w:rPr>
          <w:rFonts w:hint="eastAsia" w:ascii="Calibri" w:hAnsi="Calibri" w:eastAsia="仿宋_GB2312" w:cs="黑体"/>
          <w:kern w:val="2"/>
          <w:sz w:val="28"/>
          <w:szCs w:val="28"/>
          <w:lang w:val="en-US" w:eastAsia="zh-CN"/>
        </w:rPr>
        <w:t>你办已接受审计建议。</w:t>
      </w:r>
    </w:p>
    <w:p>
      <w:pPr>
        <w:pStyle w:val="24"/>
        <w:widowControl/>
        <w:spacing w:line="400" w:lineRule="exact"/>
        <w:ind w:firstLine="548" w:firstLineChars="196"/>
        <w:jc w:val="left"/>
        <w:rPr>
          <w:rFonts w:hint="eastAsia" w:eastAsia="方正仿宋_GBK"/>
          <w:sz w:val="28"/>
          <w:szCs w:val="28"/>
        </w:rPr>
      </w:pPr>
    </w:p>
    <w:p>
      <w:pPr>
        <w:pStyle w:val="21"/>
        <w:widowControl/>
        <w:adjustRightInd w:val="0"/>
        <w:snapToGrid w:val="0"/>
        <w:spacing w:line="400" w:lineRule="exact"/>
        <w:ind w:firstLine="561"/>
        <w:rPr>
          <w:rFonts w:hint="eastAsia" w:eastAsia="仿宋_GB2312"/>
          <w:b/>
          <w:color w:val="000000"/>
          <w:kern w:val="32"/>
          <w:sz w:val="28"/>
          <w:szCs w:val="28"/>
        </w:rPr>
      </w:pPr>
      <w:r>
        <w:rPr>
          <w:rFonts w:hint="eastAsia" w:eastAsia="仿宋_GB2312"/>
          <w:b/>
          <w:color w:val="000000"/>
          <w:kern w:val="32"/>
          <w:sz w:val="28"/>
          <w:szCs w:val="28"/>
        </w:rPr>
        <w:t>2.项目进度滞后。</w:t>
      </w:r>
    </w:p>
    <w:p>
      <w:pPr>
        <w:pStyle w:val="24"/>
        <w:widowControl/>
        <w:adjustRightInd w:val="0"/>
        <w:snapToGrid w:val="0"/>
        <w:spacing w:line="400" w:lineRule="exact"/>
        <w:ind w:firstLine="548" w:firstLineChars="19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项目计划总投资额</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1,213,118,500.00元，截至2019年12月31日，实际完成投资额</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427,164,970.43元，占计划总投资额的35.21%。2019年计划完成投资额</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411,727,890元，实际完成投资额</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rPr>
        <w:t>103,152,041.86元，占当年计划完成投资额的25.05%。</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进度滞后的项目主要是：</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（1）截至2019年12月31日，邻水远丰公司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二三四五号道路土建工程计划完成工程量100%，实际完成工程量30%。</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（2）截至2019年12月31日，邻水远丰公司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一号路道路施工土建工程计划完成工程量100%，实际完成工程量31%。</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（3）截至2019年12月31日，</w:t>
      </w:r>
      <w:r>
        <w:rPr>
          <w:rFonts w:hint="eastAsia" w:ascii="仿宋_GB2312" w:hAnsi="仿宋_GB2312" w:cs="仿宋_GB2312"/>
          <w:lang w:val="en-US" w:eastAsia="zh-CN"/>
        </w:rPr>
        <w:t>广安鑫鸿公司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前锋区工业园区基础设施滨河南路建设工程计划完成工程量100%，实际完成工程量42.41%。</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（4）截至2019年12月31日，</w:t>
      </w:r>
      <w:r>
        <w:rPr>
          <w:rFonts w:hint="eastAsia" w:ascii="仿宋_GB2312" w:hAnsi="仿宋_GB2312" w:cs="仿宋_GB2312"/>
          <w:lang w:val="en-US" w:eastAsia="zh-CN"/>
        </w:rPr>
        <w:t>广安鑫鸿公司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前锋区工业园区基础设施工业大道建设工程计划完成工程量100%，实际完成工程量56%。</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（5）截至2019年12月31日，邻水远丰公司</w:t>
      </w:r>
      <w:r>
        <w:rPr>
          <w:rFonts w:hint="eastAsia" w:ascii="仿宋_GB2312" w:hAnsi="仿宋_GB2312" w:cs="仿宋_GB2312"/>
          <w:lang w:eastAsia="zh-CN"/>
        </w:rPr>
        <w:t>组织实施的</w:t>
      </w:r>
      <w:r>
        <w:rPr>
          <w:rFonts w:hint="eastAsia" w:ascii="仿宋_GB2312" w:hAnsi="仿宋_GB2312" w:cs="仿宋_GB2312"/>
          <w:kern w:val="2"/>
          <w:lang w:val="en-US" w:eastAsia="zh-CN"/>
        </w:rPr>
        <w:t>邻水县截污干管工程计划完成工程量100%，实际完成工程量约83%。</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项目进度滞后的主要原因：除项目前期部分征地拆迁工作进展缓慢，铁塔线路搬迁、光缆保护耗时过长外，由于施工人员、设备等力量投入不足，施工组织不够有序,导致工程施工进度缓慢。</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建议你办统筹加强子项目进度管理，督促邻水远丰公司、广安鑫鸿公司采取有效措施，加快项目建设进度，确保项目有序推进、按期完工。</w:t>
      </w:r>
      <w:r>
        <w:rPr>
          <w:rFonts w:hint="eastAsia" w:ascii="Calibri" w:hAnsi="Calibri" w:eastAsia="仿宋_GB2312" w:cs="黑体"/>
          <w:kern w:val="2"/>
          <w:sz w:val="28"/>
          <w:szCs w:val="28"/>
          <w:lang w:val="en-US" w:eastAsia="zh-CN"/>
        </w:rPr>
        <w:t>你办已接受审计建议。</w:t>
      </w:r>
    </w:p>
    <w:p>
      <w:pPr>
        <w:pStyle w:val="24"/>
        <w:widowControl/>
        <w:spacing w:line="400" w:lineRule="exact"/>
        <w:ind w:firstLine="551" w:firstLineChars="196"/>
        <w:jc w:val="left"/>
        <w:rPr>
          <w:rFonts w:hint="eastAsia" w:eastAsia="仿宋_GB2312"/>
          <w:b/>
          <w:color w:val="000000"/>
          <w:kern w:val="32"/>
          <w:sz w:val="28"/>
          <w:szCs w:val="28"/>
        </w:rPr>
      </w:pPr>
    </w:p>
    <w:p>
      <w:pPr>
        <w:pStyle w:val="24"/>
        <w:widowControl/>
        <w:spacing w:line="400" w:lineRule="exact"/>
        <w:ind w:firstLine="551" w:firstLineChars="196"/>
        <w:jc w:val="left"/>
        <w:rPr>
          <w:rFonts w:hint="eastAsia" w:ascii="宋体" w:hAnsi="宋体" w:eastAsia="宋体"/>
          <w:b/>
          <w:color w:val="000000"/>
          <w:kern w:val="32"/>
          <w:sz w:val="28"/>
          <w:szCs w:val="28"/>
        </w:rPr>
      </w:pPr>
      <w:r>
        <w:rPr>
          <w:rFonts w:hint="eastAsia" w:ascii="宋体" w:hAnsi="宋体" w:eastAsia="宋体"/>
          <w:b/>
          <w:color w:val="000000"/>
          <w:kern w:val="32"/>
          <w:sz w:val="28"/>
          <w:szCs w:val="28"/>
        </w:rPr>
        <w:t>（四）上一年度审计发现问题未整改情况</w:t>
      </w:r>
    </w:p>
    <w:p>
      <w:pPr>
        <w:pStyle w:val="24"/>
        <w:widowControl/>
        <w:spacing w:line="400" w:lineRule="exact"/>
        <w:ind w:firstLine="551" w:firstLineChars="196"/>
        <w:jc w:val="left"/>
        <w:rPr>
          <w:rFonts w:hint="eastAsia" w:eastAsia="仿宋_GB2312"/>
          <w:b/>
          <w:color w:val="000000"/>
          <w:kern w:val="32"/>
          <w:sz w:val="28"/>
          <w:szCs w:val="28"/>
        </w:rPr>
      </w:pPr>
      <w:r>
        <w:rPr>
          <w:rFonts w:hint="eastAsia" w:eastAsia="仿宋_GB2312"/>
          <w:b/>
          <w:color w:val="000000"/>
          <w:kern w:val="32"/>
          <w:sz w:val="28"/>
          <w:szCs w:val="28"/>
        </w:rPr>
        <w:t xml:space="preserve">    </w:t>
      </w:r>
    </w:p>
    <w:p>
      <w:pPr>
        <w:pStyle w:val="25"/>
        <w:ind w:firstLine="560" w:firstLineChars="200"/>
        <w:rPr>
          <w:rFonts w:hint="eastAsia" w:ascii="仿宋_GB2312" w:hAnsi="仿宋_GB2312" w:cs="仿宋_GB2312"/>
          <w:kern w:val="2"/>
          <w:lang w:val="en-US" w:eastAsia="zh-CN"/>
        </w:rPr>
      </w:pPr>
      <w:r>
        <w:rPr>
          <w:rFonts w:hint="eastAsia" w:ascii="仿宋_GB2312" w:hAnsi="仿宋_GB2312" w:cs="仿宋_GB2312"/>
          <w:kern w:val="2"/>
          <w:lang w:val="en-US" w:eastAsia="zh-CN"/>
        </w:rPr>
        <w:t>审计发现，上一年度审计报告披露的6个问题中，“邻水县二、三、四、五号路道路土建工程等5个项目进度缓慢”的问题未整改到位，本年度仍然存在，其余问题均已整改。</w:t>
      </w:r>
    </w:p>
    <w:p>
      <w:pPr>
        <w:pStyle w:val="25"/>
        <w:ind w:firstLine="560"/>
        <w:rPr>
          <w:rFonts w:ascii="仿宋_GB2312" w:hAnsi="仿宋" w:eastAsia="仿宋_GB2312"/>
          <w:color w:val="000000"/>
          <w:sz w:val="32"/>
          <w:szCs w:val="32"/>
        </w:rPr>
      </w:pPr>
      <w:r>
        <w:rPr>
          <w:rFonts w:hint="eastAsia" w:ascii="仿宋_GB2312" w:hAnsi="仿宋_GB2312" w:cs="仿宋_GB2312"/>
          <w:kern w:val="2"/>
          <w:lang w:val="en-US" w:eastAsia="zh-CN"/>
        </w:rPr>
        <w:t>建议你办切实制定和落实整改措施，促进项目顺利实施。</w:t>
      </w:r>
      <w:r>
        <w:rPr>
          <w:rFonts w:hint="eastAsia" w:ascii="Calibri" w:hAnsi="Calibri" w:eastAsia="仿宋_GB2312" w:cs="黑体"/>
          <w:kern w:val="2"/>
          <w:sz w:val="28"/>
          <w:szCs w:val="28"/>
          <w:lang w:val="en-US" w:eastAsia="zh-CN"/>
        </w:rPr>
        <w:t>你办已接受审计建议。</w:t>
      </w:r>
    </w:p>
    <w:p>
      <w:pPr>
        <w:spacing w:line="400" w:lineRule="exact"/>
        <w:rPr>
          <w:rFonts w:hint="eastAsia" w:ascii="Times New Roman" w:hAnsi="Times New Roman" w:eastAsia="仿宋_GB2312" w:cs="Times New Roman"/>
          <w:kern w:val="2"/>
          <w:sz w:val="28"/>
          <w:szCs w:val="28"/>
          <w:highlight w:val="none"/>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28"/>
      </w:rPr>
    </w:pPr>
    <w:r>
      <w:fldChar w:fldCharType="begin"/>
    </w:r>
    <w:r>
      <w:rPr>
        <w:rStyle w:val="28"/>
      </w:rPr>
      <w:instrText xml:space="preserve">PAGE  </w:instrText>
    </w:r>
    <w:r>
      <w:fldChar w:fldCharType="separate"/>
    </w:r>
    <w:r>
      <w:rPr>
        <w:rStyle w:val="28"/>
      </w:rPr>
      <w:t>1</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28"/>
      </w:rPr>
    </w:pPr>
    <w:r>
      <w:fldChar w:fldCharType="begin"/>
    </w:r>
    <w:r>
      <w:rPr>
        <w:rStyle w:val="28"/>
      </w:rPr>
      <w:instrText xml:space="preserve">PAGE  </w:instrText>
    </w:r>
    <w:r>
      <w:fldChar w:fldCharType="separate"/>
    </w:r>
    <w:r>
      <w:rPr>
        <w:rStyle w:val="28"/>
      </w:rPr>
      <w:t>21</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28"/>
      </w:rPr>
    </w:pPr>
    <w:r>
      <w:fldChar w:fldCharType="begin"/>
    </w:r>
    <w:r>
      <w:rPr>
        <w:rStyle w:val="28"/>
      </w:rPr>
      <w:instrText xml:space="preserve">PAGE  </w:instrText>
    </w:r>
    <w:r>
      <w:fldChar w:fldCharType="separate"/>
    </w:r>
    <w:r>
      <w:rPr>
        <w:rStyle w:val="28"/>
      </w:rPr>
      <w:t>21</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6"/>
    <w:multiLevelType w:val="multilevel"/>
    <w:tmpl w:val="00000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54155"/>
    <w:rsid w:val="04884FF2"/>
    <w:rsid w:val="0D2E43D6"/>
    <w:rsid w:val="0F0D1157"/>
    <w:rsid w:val="11CE5C68"/>
    <w:rsid w:val="12575539"/>
    <w:rsid w:val="13CE4492"/>
    <w:rsid w:val="142751BB"/>
    <w:rsid w:val="16472623"/>
    <w:rsid w:val="16B11D7A"/>
    <w:rsid w:val="17DC6104"/>
    <w:rsid w:val="18235270"/>
    <w:rsid w:val="188707F7"/>
    <w:rsid w:val="1C136D19"/>
    <w:rsid w:val="1CEE0C2A"/>
    <w:rsid w:val="1E2B7913"/>
    <w:rsid w:val="1F567D6E"/>
    <w:rsid w:val="1FA050C5"/>
    <w:rsid w:val="1FA55B76"/>
    <w:rsid w:val="1FBC1D72"/>
    <w:rsid w:val="21276FC9"/>
    <w:rsid w:val="212B783C"/>
    <w:rsid w:val="21904BF6"/>
    <w:rsid w:val="238337B9"/>
    <w:rsid w:val="244F5860"/>
    <w:rsid w:val="24C1587E"/>
    <w:rsid w:val="26667E05"/>
    <w:rsid w:val="267655E6"/>
    <w:rsid w:val="26997D70"/>
    <w:rsid w:val="2B4D3F78"/>
    <w:rsid w:val="2EE97EB8"/>
    <w:rsid w:val="347F4A4C"/>
    <w:rsid w:val="373E4A73"/>
    <w:rsid w:val="379E0A65"/>
    <w:rsid w:val="383734D8"/>
    <w:rsid w:val="3AFD1087"/>
    <w:rsid w:val="3B9725B2"/>
    <w:rsid w:val="3C1B1F8D"/>
    <w:rsid w:val="3DF54511"/>
    <w:rsid w:val="3FCC02A6"/>
    <w:rsid w:val="40424FFF"/>
    <w:rsid w:val="413E5128"/>
    <w:rsid w:val="42041621"/>
    <w:rsid w:val="422E1E58"/>
    <w:rsid w:val="484756C1"/>
    <w:rsid w:val="485823E9"/>
    <w:rsid w:val="48681CC2"/>
    <w:rsid w:val="4B603035"/>
    <w:rsid w:val="4C0616CE"/>
    <w:rsid w:val="4D3D62A9"/>
    <w:rsid w:val="4E524BF9"/>
    <w:rsid w:val="4E7D0FBF"/>
    <w:rsid w:val="4ECB27EC"/>
    <w:rsid w:val="54062A91"/>
    <w:rsid w:val="54654155"/>
    <w:rsid w:val="548D4512"/>
    <w:rsid w:val="5678430B"/>
    <w:rsid w:val="568A6005"/>
    <w:rsid w:val="56FE0CA4"/>
    <w:rsid w:val="58F438A7"/>
    <w:rsid w:val="59D34705"/>
    <w:rsid w:val="5B560BCC"/>
    <w:rsid w:val="5C196854"/>
    <w:rsid w:val="5C414B00"/>
    <w:rsid w:val="61B50DA0"/>
    <w:rsid w:val="63462E02"/>
    <w:rsid w:val="639707CA"/>
    <w:rsid w:val="640D62B1"/>
    <w:rsid w:val="66027456"/>
    <w:rsid w:val="66D56051"/>
    <w:rsid w:val="6A0C40EE"/>
    <w:rsid w:val="6C9F06C0"/>
    <w:rsid w:val="70131694"/>
    <w:rsid w:val="7062275B"/>
    <w:rsid w:val="71423D5C"/>
    <w:rsid w:val="720C5D6F"/>
    <w:rsid w:val="729239BE"/>
    <w:rsid w:val="72C376A6"/>
    <w:rsid w:val="74A86F88"/>
    <w:rsid w:val="76502271"/>
    <w:rsid w:val="7CAB68D6"/>
    <w:rsid w:val="7DC21B5E"/>
    <w:rsid w:val="7EB3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3">
    <w:name w:val="Default Paragraph Font"/>
    <w:link w:val="4"/>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4">
    <w:name w:val="Char1"/>
    <w:basedOn w:val="5"/>
    <w:link w:val="3"/>
    <w:uiPriority w:val="0"/>
    <w:pPr>
      <w:widowControl/>
      <w:spacing w:after="160" w:afterLines="0" w:line="240" w:lineRule="exact"/>
      <w:jc w:val="left"/>
    </w:p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rPr>
  </w:style>
  <w:style w:type="paragraph" w:customStyle="1" w:styleId="7">
    <w:name w:val="正文内容-中"/>
    <w:basedOn w:val="8"/>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8">
    <w:name w:val="正文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目录 1 New"/>
    <w:basedOn w:val="10"/>
    <w:next w:val="10"/>
    <w:uiPriority w:val="0"/>
    <w:pPr>
      <w:tabs>
        <w:tab w:val="right" w:leader="dot" w:pos="8330"/>
      </w:tabs>
    </w:pPr>
    <w:rPr>
      <w:rFonts w:eastAsia="仿宋_GB2312"/>
      <w:sz w:val="28"/>
      <w:szCs w:val="28"/>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11"/>
    <w:qFormat/>
    <w:uiPriority w:val="0"/>
    <w:pPr>
      <w:widowControl w:val="0"/>
      <w:jc w:val="both"/>
    </w:pPr>
    <w:rPr>
      <w:rFonts w:ascii="Times New Roman" w:hAnsi="Times New Roman" w:eastAsia="宋体" w:cs="Times New Roman"/>
      <w:kern w:val="2"/>
      <w:sz w:val="21"/>
      <w:lang w:val="en-US" w:eastAsia="zh-CN"/>
    </w:rPr>
  </w:style>
  <w:style w:type="paragraph" w:customStyle="1" w:styleId="11">
    <w:name w:val="正文文本 New New New New New New New New New New New New New New New New New New New New New New New New New New New New New"/>
    <w:basedOn w:val="10"/>
    <w:uiPriority w:val="0"/>
    <w:pPr>
      <w:widowControl/>
      <w:jc w:val="left"/>
    </w:pPr>
    <w:rPr>
      <w:rFonts w:eastAsia="宋体"/>
      <w:sz w:val="24"/>
      <w:szCs w:val="24"/>
    </w:rPr>
  </w:style>
  <w:style w:type="paragraph" w:customStyle="1" w:styleId="12">
    <w:name w:val="正文标题-中 New New New New New New New New New New New"/>
    <w:basedOn w:val="11"/>
    <w:uiPriority w:val="0"/>
    <w:pPr>
      <w:snapToGrid w:val="0"/>
      <w:spacing w:line="400" w:lineRule="exact"/>
      <w:jc w:val="center"/>
    </w:pPr>
    <w:rPr>
      <w:rFonts w:eastAsia="仿宋_GB2312"/>
      <w:b/>
      <w:sz w:val="32"/>
      <w:szCs w:val="32"/>
      <w:lang w:val="en-US"/>
    </w:rPr>
  </w:style>
  <w:style w:type="paragraph" w:customStyle="1" w:styleId="13">
    <w:name w:val="正文内容-中 New New New New New New New New"/>
    <w:basedOn w:val="10"/>
    <w:uiPriority w:val="0"/>
    <w:pPr>
      <w:adjustRightInd w:val="0"/>
      <w:snapToGrid w:val="0"/>
      <w:spacing w:line="400" w:lineRule="exact"/>
      <w:ind w:firstLine="560" w:firstLineChars="200"/>
    </w:pPr>
    <w:rPr>
      <w:rFonts w:ascii="仿宋_GB2312" w:eastAsia="仿宋_GB2312"/>
      <w:sz w:val="28"/>
      <w:szCs w:val="28"/>
    </w:rPr>
  </w:style>
  <w:style w:type="paragraph" w:customStyle="1" w:styleId="14">
    <w:name w:val="审报正文内容-中 New New New New New New New New New New New New"/>
    <w:basedOn w:val="10"/>
    <w:uiPriority w:val="0"/>
    <w:pPr>
      <w:adjustRightInd w:val="0"/>
      <w:snapToGrid w:val="0"/>
      <w:spacing w:line="400" w:lineRule="exact"/>
      <w:ind w:firstLine="561"/>
      <w:jc w:val="left"/>
    </w:pPr>
    <w:rPr>
      <w:rFonts w:eastAsia="仿宋_GB2312"/>
      <w:sz w:val="28"/>
      <w:szCs w:val="28"/>
    </w:rPr>
  </w:style>
  <w:style w:type="paragraph" w:customStyle="1" w:styleId="15">
    <w:name w:val="审报正文联系方式-中"/>
    <w:basedOn w:val="8"/>
    <w:uiPriority w:val="0"/>
    <w:pPr>
      <w:snapToGrid w:val="0"/>
      <w:spacing w:line="400" w:lineRule="exact"/>
      <w:jc w:val="left"/>
    </w:pPr>
    <w:rPr>
      <w:rFonts w:ascii="仿宋_GB2312" w:eastAsia="仿宋_GB2312"/>
      <w:sz w:val="28"/>
      <w:szCs w:val="28"/>
    </w:rPr>
  </w:style>
  <w:style w:type="paragraph" w:customStyle="1" w:styleId="16">
    <w:name w:val="审报目录标题1-中"/>
    <w:basedOn w:val="17"/>
    <w:uiPriority w:val="0"/>
    <w:pPr>
      <w:snapToGrid w:val="0"/>
      <w:spacing w:line="400" w:lineRule="exact"/>
      <w:jc w:val="left"/>
    </w:pPr>
    <w:rPr>
      <w:kern w:val="0"/>
      <w:sz w:val="28"/>
      <w:szCs w:val="28"/>
    </w:rPr>
  </w:style>
  <w:style w:type="paragraph" w:customStyle="1" w:styleId="17">
    <w:name w:val="标题 1 New New"/>
    <w:basedOn w:val="18"/>
    <w:next w:val="18"/>
    <w:uiPriority w:val="0"/>
    <w:pPr>
      <w:keepNext/>
      <w:spacing w:line="420" w:lineRule="exact"/>
      <w:jc w:val="center"/>
      <w:outlineLvl w:val="0"/>
    </w:pPr>
    <w:rPr>
      <w:rFonts w:eastAsia="仿宋_GB2312"/>
      <w:b/>
      <w:bCs/>
      <w:sz w:val="32"/>
      <w:szCs w:val="32"/>
    </w:rPr>
  </w:style>
  <w:style w:type="paragraph" w:customStyle="1" w:styleId="18">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0"/>
    <w:uiPriority w:val="0"/>
    <w:pPr>
      <w:widowControl w:val="0"/>
      <w:jc w:val="both"/>
    </w:pPr>
    <w:rPr>
      <w:rFonts w:ascii="Times New Roman" w:hAnsi="Times New Roman" w:eastAsia="宋体" w:cs="Times New Roman"/>
      <w:kern w:val="2"/>
      <w:sz w:val="21"/>
      <w:lang w:val="en-US" w:eastAsia="zh-CN"/>
    </w:rPr>
  </w:style>
  <w:style w:type="paragraph" w:customStyle="1" w:styleId="20">
    <w:name w:val="正文文本 New New New New New New New New New New New New New New New New New New New New New New New New New New New New New New"/>
    <w:basedOn w:val="19"/>
    <w:uiPriority w:val="0"/>
    <w:pPr>
      <w:widowControl/>
      <w:jc w:val="left"/>
    </w:pPr>
    <w:rPr>
      <w:rFonts w:eastAsia="宋体"/>
      <w:sz w:val="24"/>
      <w:szCs w:val="24"/>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2"/>
    <w:uiPriority w:val="0"/>
    <w:pPr>
      <w:widowControl w:val="0"/>
      <w:jc w:val="both"/>
    </w:pPr>
    <w:rPr>
      <w:rFonts w:ascii="Times New Roman" w:hAnsi="Times New Roman" w:eastAsia="宋体" w:cs="Times New Roman"/>
      <w:kern w:val="2"/>
      <w:sz w:val="21"/>
      <w:lang w:val="en-US" w:eastAsia="zh-CN"/>
    </w:rPr>
  </w:style>
  <w:style w:type="paragraph" w:customStyle="1" w:styleId="22">
    <w:name w:val="正文文本 New New New New New New New New New New New New New New New New New New New New New New New New New New New New New New New"/>
    <w:basedOn w:val="21"/>
    <w:uiPriority w:val="0"/>
    <w:pPr>
      <w:widowControl/>
      <w:jc w:val="left"/>
    </w:pPr>
    <w:rPr>
      <w:rFonts w:eastAsia="宋体"/>
      <w:sz w:val="24"/>
      <w:szCs w:val="24"/>
    </w:rPr>
  </w:style>
  <w:style w:type="paragraph" w:customStyle="1" w:styleId="23">
    <w:name w:val="审报正文标题-中 New New New New New New New New New New New New New New"/>
    <w:basedOn w:val="22"/>
    <w:uiPriority w:val="0"/>
    <w:pPr>
      <w:snapToGrid w:val="0"/>
      <w:spacing w:line="400" w:lineRule="exact"/>
      <w:jc w:val="center"/>
    </w:pPr>
    <w:rPr>
      <w:rFonts w:eastAsia="仿宋_GB2312"/>
      <w:b/>
      <w:sz w:val="32"/>
      <w:szCs w:val="32"/>
      <w:lang w:val="en-US"/>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25">
    <w:name w:val="审报正文内容-中 New New New New New New New New New New New New New"/>
    <w:basedOn w:val="21"/>
    <w:uiPriority w:val="0"/>
    <w:pPr>
      <w:adjustRightInd w:val="0"/>
      <w:snapToGrid w:val="0"/>
      <w:spacing w:line="400" w:lineRule="exact"/>
      <w:ind w:firstLine="561"/>
      <w:jc w:val="left"/>
    </w:pPr>
    <w:rPr>
      <w:rFonts w:eastAsia="仿宋_GB2312"/>
      <w:sz w:val="28"/>
      <w:szCs w:val="28"/>
    </w:rPr>
  </w:style>
  <w:style w:type="paragraph" w:customStyle="1" w:styleId="26">
    <w:name w:val="页眉 New New New New New New New New New New New New New New New New New New New New New New New New New New New New New New New New New"/>
    <w:basedOn w:val="19"/>
    <w:uiPriority w:val="0"/>
    <w:pPr>
      <w:pBdr>
        <w:bottom w:val="single" w:color="auto" w:sz="6" w:space="1"/>
      </w:pBdr>
      <w:tabs>
        <w:tab w:val="center" w:pos="4153"/>
        <w:tab w:val="right" w:pos="8306"/>
      </w:tabs>
      <w:snapToGrid w:val="0"/>
      <w:jc w:val="center"/>
    </w:pPr>
    <w:rPr>
      <w:sz w:val="18"/>
      <w:szCs w:val="18"/>
    </w:rPr>
  </w:style>
  <w:style w:type="paragraph" w:customStyle="1" w:styleId="27">
    <w:name w:val="页脚 New New New New New New New New New New New New New New New New New New New New New New New New New New New New New New New New New New New New New New New New New New"/>
    <w:basedOn w:val="19"/>
    <w:uiPriority w:val="0"/>
    <w:pPr>
      <w:tabs>
        <w:tab w:val="center" w:pos="4153"/>
        <w:tab w:val="right" w:pos="8306"/>
      </w:tabs>
      <w:snapToGrid w:val="0"/>
      <w:jc w:val="left"/>
    </w:pPr>
    <w:rPr>
      <w:sz w:val="18"/>
      <w:szCs w:val="18"/>
    </w:rPr>
  </w:style>
  <w:style w:type="character" w:customStyle="1" w:styleId="28">
    <w:name w:val="页码1"/>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2020-08-27T08:09:00Z</dcterms:created>
  <dc:creator>任梓熙</dc:creator>
  <cp:lastModifiedBy>任梓熙</cp:lastModifiedBy>
  <dcterms:modified xsi:type="dcterms:W3CDTF">2020-08-27T08:09:58Z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