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15378441"/>
      <w:bookmarkStart w:id="3" w:name="_Toc15396475"/>
      <w:bookmarkStart w:id="4" w:name="_Toc15377193"/>
      <w:bookmarkStart w:id="5"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77426"/>
      <w:bookmarkStart w:id="8" w:name="_Toc15396598"/>
      <w:bookmarkStart w:id="9" w:name="_Toc15378442"/>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审计厅政府投资审计中心</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16</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lang w:eastAsia="zh-CN"/>
        </w:rPr>
        <w:t>…………………………………………………………………</w:t>
      </w:r>
      <w:r>
        <w:rPr>
          <w:rFonts w:hint="eastAsia"/>
          <w:color w:val="auto"/>
          <w:sz w:val="24"/>
          <w:highlight w:val="none"/>
          <w:lang w:val="en-US" w:eastAsia="zh-CN"/>
        </w:rPr>
        <w:t>4</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hint="eastAsia"/>
          <w:color w:val="auto"/>
          <w:sz w:val="24"/>
          <w:highlight w:val="none"/>
          <w:lang w:val="en-US" w:eastAsia="zh-CN"/>
        </w:rPr>
        <w:t>4</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hint="eastAsia" w:asciiTheme="minorEastAsia" w:hAnsiTheme="minorEastAsia" w:eastAsiaTheme="minorEastAsia" w:cstheme="minorEastAsia"/>
          <w:color w:val="auto"/>
          <w:sz w:val="24"/>
          <w:highlight w:val="none"/>
          <w:lang w:val="en-US" w:eastAsia="zh-CN"/>
        </w:rPr>
        <w:t>4</w:t>
      </w:r>
    </w:p>
    <w:p>
      <w:pPr>
        <w:pStyle w:val="11"/>
        <w:adjustRightInd w:val="0"/>
        <w:snapToGrid w:val="0"/>
        <w:spacing w:line="440" w:lineRule="exact"/>
        <w:jc w:val="left"/>
        <w:rPr>
          <w:rFonts w:hint="default"/>
          <w:lang w:val="en-US" w:eastAsia="zh-CN"/>
        </w:rPr>
      </w:pPr>
      <w:r>
        <w:rPr>
          <w:rFonts w:hint="eastAsia" w:asciiTheme="minorEastAsia" w:hAnsiTheme="minorEastAsia" w:eastAsiaTheme="minorEastAsia" w:cstheme="minorEastAsia"/>
          <w:color w:val="auto"/>
          <w:sz w:val="24"/>
          <w:highlight w:val="none"/>
          <w:lang w:val="en-US" w:eastAsia="zh-CN"/>
        </w:rPr>
        <w:t>三、机构设置情况</w:t>
      </w:r>
      <w:r>
        <w:rPr>
          <w:rFonts w:hint="eastAsia"/>
          <w:color w:val="auto"/>
          <w:sz w:val="24"/>
          <w:highlight w:val="none"/>
          <w:lang w:eastAsia="zh-CN"/>
        </w:rPr>
        <w:t>………………………………………………………………</w:t>
      </w:r>
      <w:r>
        <w:rPr>
          <w:rFonts w:hint="eastAsia"/>
          <w:color w:val="auto"/>
          <w:sz w:val="24"/>
          <w:highlight w:val="none"/>
          <w:lang w:val="en-US" w:eastAsia="zh-CN"/>
        </w:rPr>
        <w:t>4</w:t>
      </w:r>
      <w:bookmarkStart w:id="67" w:name="_GoBack"/>
      <w:bookmarkEnd w:id="67"/>
    </w:p>
    <w:p>
      <w:pPr>
        <w:pStyle w:val="10"/>
        <w:adjustRightInd w:val="0"/>
        <w:snapToGrid w:val="0"/>
        <w:spacing w:before="0" w:line="440" w:lineRule="exact"/>
        <w:jc w:val="left"/>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eastAsia="zh-CN"/>
        </w:rPr>
        <w:t>……………………………………………</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eastAsia="zh-CN"/>
        </w:rPr>
        <w:t>………………………………………………</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eastAsia="zh-CN"/>
        </w:rPr>
        <w:t>…………………………………………………………</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eastAsia="zh-CN"/>
        </w:rPr>
        <w:t>…………………………………………………………</w:t>
      </w:r>
      <w:r>
        <w:rPr>
          <w:rFonts w:hint="eastAsia"/>
          <w:color w:val="auto"/>
          <w:sz w:val="24"/>
          <w:highlight w:val="none"/>
          <w:lang w:val="en-US" w:eastAsia="zh-CN"/>
        </w:rPr>
        <w:t>6</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eastAsia="zh-CN"/>
        </w:rPr>
        <w:t>……………………………………</w:t>
      </w:r>
      <w:r>
        <w:rPr>
          <w:rFonts w:hint="eastAsia"/>
          <w:color w:val="auto"/>
          <w:sz w:val="24"/>
          <w:highlight w:val="none"/>
          <w:lang w:val="en-US" w:eastAsia="zh-CN"/>
        </w:rPr>
        <w:t>7</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eastAsia="zh-CN"/>
        </w:rPr>
        <w:t>………………………………</w:t>
      </w:r>
      <w:r>
        <w:rPr>
          <w:rFonts w:hint="eastAsia"/>
          <w:color w:val="auto"/>
          <w:sz w:val="24"/>
          <w:highlight w:val="none"/>
          <w:lang w:val="en-US" w:eastAsia="zh-CN"/>
        </w:rPr>
        <w:t>7</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eastAsia="zh-CN"/>
        </w:rPr>
        <w:t>…………………………</w:t>
      </w:r>
      <w:r>
        <w:rPr>
          <w:rFonts w:hint="eastAsia"/>
          <w:color w:val="auto"/>
          <w:sz w:val="24"/>
          <w:highlight w:val="none"/>
          <w:lang w:val="en-US" w:eastAsia="zh-CN"/>
        </w:rPr>
        <w:t>9</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eastAsia="zh-CN"/>
        </w:rPr>
        <w:t>………………………………</w:t>
      </w:r>
      <w:r>
        <w:rPr>
          <w:rFonts w:hint="eastAsia"/>
          <w:color w:val="auto"/>
          <w:sz w:val="24"/>
          <w:highlight w:val="none"/>
          <w:lang w:val="en-US" w:eastAsia="zh-CN"/>
        </w:rPr>
        <w:t>10</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eastAsia="zh-CN"/>
        </w:rPr>
        <w:t>………………………………………</w:t>
      </w:r>
      <w:r>
        <w:rPr>
          <w:rFonts w:hint="eastAsia"/>
          <w:color w:val="auto"/>
          <w:sz w:val="24"/>
          <w:highlight w:val="none"/>
          <w:lang w:val="en-US" w:eastAsia="zh-CN"/>
        </w:rPr>
        <w:t>11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eastAsia="zh-CN"/>
        </w:rPr>
        <w:t>……………………………………</w:t>
      </w:r>
      <w:r>
        <w:rPr>
          <w:rFonts w:hint="eastAsia"/>
          <w:color w:val="auto"/>
          <w:sz w:val="24"/>
          <w:highlight w:val="none"/>
          <w:lang w:val="en-US" w:eastAsia="zh-CN"/>
        </w:rPr>
        <w:t>11</w:t>
      </w:r>
      <w:r>
        <w:rPr>
          <w:rFonts w:hint="eastAsia"/>
          <w:color w:val="auto"/>
          <w:sz w:val="24"/>
          <w:highlight w:val="none"/>
        </w:rPr>
        <w:t>十、其他重要事项的情况说明</w:t>
      </w:r>
      <w:r>
        <w:rPr>
          <w:rFonts w:hint="eastAsia"/>
          <w:color w:val="auto"/>
          <w:sz w:val="24"/>
          <w:highlight w:val="none"/>
          <w:lang w:eastAsia="zh-CN"/>
        </w:rPr>
        <w:t>…………………………………………………</w:t>
      </w:r>
      <w:r>
        <w:rPr>
          <w:rFonts w:hint="eastAsia"/>
          <w:color w:val="auto"/>
          <w:sz w:val="24"/>
          <w:highlight w:val="none"/>
          <w:lang w:val="en-US" w:eastAsia="zh-CN"/>
        </w:rPr>
        <w:t>11</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eastAsia="zh-CN"/>
        </w:rPr>
        <w:t>…………………………………………………………………</w:t>
      </w:r>
      <w:r>
        <w:rPr>
          <w:rFonts w:hint="eastAsia"/>
          <w:color w:val="auto"/>
          <w:sz w:val="24"/>
          <w:highlight w:val="none"/>
          <w:lang w:val="en-US" w:eastAsia="zh-CN"/>
        </w:rPr>
        <w:t>13</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eastAsia="zh-CN"/>
        </w:rPr>
        <w:t>………………………………………………………………………</w:t>
      </w:r>
      <w:r>
        <w:rPr>
          <w:rFonts w:hint="eastAsia"/>
          <w:color w:val="auto"/>
          <w:sz w:val="24"/>
          <w:highlight w:val="none"/>
          <w:lang w:val="en-US" w:eastAsia="zh-CN"/>
        </w:rPr>
        <w:t>15</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eastAsia="zh-CN"/>
        </w:rPr>
        <w:t>………………………………………………………………………</w:t>
      </w:r>
      <w:r>
        <w:rPr>
          <w:rFonts w:hint="eastAsia"/>
          <w:color w:val="auto"/>
          <w:sz w:val="24"/>
          <w:highlight w:val="none"/>
          <w:lang w:val="en-US" w:eastAsia="zh-CN"/>
        </w:rPr>
        <w:t>16</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hint="eastAsia" w:ascii="仿宋" w:hAnsi="仿宋" w:eastAsia="仿宋"/>
          <w:color w:val="auto"/>
          <w:sz w:val="24"/>
          <w:highlight w:val="none"/>
          <w:lang w:val="en-US" w:eastAsia="zh-CN"/>
        </w:rPr>
        <w:t xml:space="preserve"> </w:t>
      </w:r>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keepNext/>
        <w:keepLines/>
        <w:pageBreakBefore w:val="0"/>
        <w:widowControl w:val="0"/>
        <w:numPr>
          <w:ilvl w:val="0"/>
          <w:numId w:val="1"/>
        </w:numPr>
        <w:kinsoku/>
        <w:wordWrap/>
        <w:overflowPunct/>
        <w:topLinePunct w:val="0"/>
        <w:autoSpaceDE/>
        <w:autoSpaceDN/>
        <w:bidi w:val="0"/>
        <w:adjustRightInd/>
        <w:snapToGrid/>
        <w:spacing w:line="416" w:lineRule="auto"/>
        <w:ind w:firstLine="640" w:firstLineChars="200"/>
        <w:textAlignment w:val="auto"/>
        <w:rPr>
          <w:rStyle w:val="25"/>
          <w:rFonts w:hint="eastAsia" w:ascii="黑体" w:hAnsi="黑体" w:eastAsia="黑体"/>
          <w:b w:val="0"/>
          <w:bCs w:val="0"/>
          <w:color w:val="auto"/>
          <w:highlight w:val="none"/>
          <w:lang w:eastAsia="zh-CN"/>
        </w:rPr>
      </w:pPr>
      <w:bookmarkStart w:id="14" w:name="_Toc15396600"/>
      <w:bookmarkStart w:id="15" w:name="_Toc15377197"/>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p>
    <w:p>
      <w:pPr>
        <w:pStyle w:val="32"/>
        <w:ind w:firstLine="640" w:firstLineChars="200"/>
        <w:rPr>
          <w:rFonts w:ascii="仿宋" w:hAnsi="仿宋" w:eastAsia="仿宋"/>
          <w:color w:val="000000"/>
          <w:sz w:val="32"/>
          <w:szCs w:val="32"/>
        </w:rPr>
      </w:pPr>
      <w:r>
        <w:rPr>
          <w:rFonts w:hint="eastAsia" w:ascii="仿宋_GB2312" w:hAnsi="仿宋_GB2312" w:eastAsia="仿宋_GB2312" w:cs="仿宋_GB2312"/>
          <w:sz w:val="32"/>
          <w:szCs w:val="32"/>
          <w:lang w:eastAsia="zh-CN"/>
        </w:rPr>
        <w:t>审计厅政府投资审计中心为审计厅管理的正处级公益一类事业单位。主要职责是承担政府投资项目执行情况审计评审等事务性工作。</w:t>
      </w:r>
    </w:p>
    <w:p>
      <w:pPr>
        <w:numPr>
          <w:ilvl w:val="0"/>
          <w:numId w:val="0"/>
        </w:numPr>
        <w:rPr>
          <w:rFonts w:hint="eastAsia" w:ascii="仿宋" w:hAnsi="仿宋" w:eastAsia="仿宋" w:cs="仿宋"/>
          <w:sz w:val="32"/>
          <w:szCs w:val="32"/>
        </w:rPr>
      </w:pPr>
    </w:p>
    <w:p>
      <w:pPr>
        <w:pStyle w:val="4"/>
        <w:numPr>
          <w:ilvl w:val="0"/>
          <w:numId w:val="0"/>
        </w:numPr>
        <w:ind w:firstLine="640" w:firstLineChars="200"/>
        <w:rPr>
          <w:rFonts w:hint="eastAsia" w:ascii="黑体" w:hAnsi="黑体" w:eastAsia="黑体"/>
          <w:b w:val="0"/>
          <w:color w:val="auto"/>
          <w:highlight w:val="none"/>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autoSpaceDE w:val="0"/>
        <w:spacing w:line="560" w:lineRule="exact"/>
        <w:ind w:firstLine="640" w:firstLineChars="200"/>
        <w:rPr>
          <w:rFonts w:hint="eastAsia" w:ascii="仿宋_GB2312" w:hAnsi="仿宋_GB2312" w:eastAsia="仿宋_GB2312" w:cs="仿宋_GB2312"/>
          <w:color w:val="000000"/>
          <w:kern w:val="0"/>
          <w:sz w:val="32"/>
          <w:szCs w:val="31"/>
        </w:rPr>
      </w:pPr>
      <w:r>
        <w:rPr>
          <w:rFonts w:hint="eastAsia" w:ascii="仿宋_GB2312" w:hAnsi="仿宋_GB2312" w:eastAsia="仿宋_GB2312" w:cs="仿宋_GB2312"/>
          <w:color w:val="000000"/>
          <w:kern w:val="0"/>
          <w:sz w:val="32"/>
          <w:szCs w:val="31"/>
          <w:lang w:val="en-US" w:eastAsia="zh-CN"/>
        </w:rPr>
        <w:t>2021年，</w:t>
      </w:r>
      <w:r>
        <w:rPr>
          <w:rFonts w:hint="eastAsia" w:ascii="仿宋_GB2312" w:hAnsi="仿宋_GB2312" w:eastAsia="仿宋_GB2312" w:cs="仿宋_GB2312"/>
          <w:sz w:val="32"/>
          <w:szCs w:val="32"/>
          <w:lang w:eastAsia="zh-CN"/>
        </w:rPr>
        <w:t>政府投资审计中心</w:t>
      </w:r>
      <w:r>
        <w:rPr>
          <w:rFonts w:hint="eastAsia" w:ascii="仿宋_GB2312" w:hAnsi="仿宋_GB2312" w:eastAsia="仿宋_GB2312" w:cs="仿宋_GB2312"/>
          <w:color w:val="000000"/>
          <w:kern w:val="0"/>
          <w:sz w:val="32"/>
          <w:szCs w:val="31"/>
        </w:rPr>
        <w:t>先后完成</w:t>
      </w:r>
      <w:r>
        <w:rPr>
          <w:rFonts w:hint="eastAsia" w:ascii="仿宋_GB2312" w:hAnsi="仿宋_GB2312" w:eastAsia="仿宋_GB2312"/>
          <w:sz w:val="32"/>
          <w:szCs w:val="32"/>
        </w:rPr>
        <w:t>公共工程造价控制</w:t>
      </w:r>
      <w:r>
        <w:rPr>
          <w:rFonts w:hint="eastAsia" w:ascii="仿宋_GB2312" w:hAnsi="仿宋_GB2312" w:eastAsia="仿宋_GB2312"/>
          <w:sz w:val="32"/>
          <w:szCs w:val="32"/>
          <w:lang w:eastAsia="zh-CN"/>
        </w:rPr>
        <w:t>审计调查</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成都天府国际机场和四川省级</w:t>
      </w:r>
      <w:r>
        <w:rPr>
          <w:rFonts w:hint="eastAsia" w:ascii="仿宋_GB2312" w:hAnsi="仿宋_GB2312" w:eastAsia="仿宋_GB2312"/>
          <w:sz w:val="32"/>
          <w:szCs w:val="32"/>
        </w:rPr>
        <w:t>文化中心</w:t>
      </w:r>
      <w:r>
        <w:rPr>
          <w:rFonts w:hint="eastAsia" w:ascii="仿宋_GB2312" w:hAnsi="仿宋_GB2312" w:eastAsia="仿宋_GB2312"/>
          <w:sz w:val="32"/>
          <w:szCs w:val="32"/>
          <w:lang w:eastAsia="zh-CN"/>
        </w:rPr>
        <w:t>项目跟踪审计</w:t>
      </w:r>
      <w:r>
        <w:rPr>
          <w:rFonts w:hint="eastAsia" w:ascii="仿宋_GB2312" w:hAnsi="仿宋_GB2312" w:eastAsia="仿宋_GB2312"/>
          <w:sz w:val="32"/>
          <w:szCs w:val="32"/>
        </w:rPr>
        <w:t>等</w:t>
      </w:r>
      <w:r>
        <w:rPr>
          <w:rFonts w:hint="eastAsia" w:ascii="仿宋_GB2312" w:hAnsi="仿宋_GB2312" w:eastAsia="仿宋_GB2312" w:cs="仿宋_GB2312"/>
          <w:color w:val="000000"/>
          <w:kern w:val="0"/>
          <w:sz w:val="32"/>
          <w:szCs w:val="31"/>
        </w:rPr>
        <w:t>4个年度</w:t>
      </w:r>
      <w:r>
        <w:rPr>
          <w:rFonts w:hint="eastAsia" w:ascii="仿宋_GB2312" w:hAnsi="仿宋_GB2312" w:eastAsia="仿宋_GB2312" w:cs="仿宋_GB2312"/>
          <w:color w:val="000000"/>
          <w:kern w:val="0"/>
          <w:sz w:val="32"/>
          <w:szCs w:val="31"/>
          <w:lang w:eastAsia="zh-CN"/>
        </w:rPr>
        <w:t>审计</w:t>
      </w:r>
      <w:r>
        <w:rPr>
          <w:rFonts w:hint="eastAsia" w:ascii="仿宋_GB2312" w:hAnsi="仿宋_GB2312" w:eastAsia="仿宋_GB2312" w:cs="仿宋_GB2312"/>
          <w:color w:val="000000"/>
          <w:kern w:val="0"/>
          <w:sz w:val="32"/>
          <w:szCs w:val="31"/>
        </w:rPr>
        <w:t>计划项目</w:t>
      </w:r>
      <w:r>
        <w:rPr>
          <w:rFonts w:hint="eastAsia" w:ascii="仿宋_GB2312" w:hAnsi="仿宋_GB2312" w:eastAsia="仿宋_GB2312" w:cs="仿宋"/>
          <w:sz w:val="32"/>
          <w:szCs w:val="32"/>
          <w:lang w:eastAsia="zh-CN"/>
        </w:rPr>
        <w:t>，</w:t>
      </w:r>
      <w:r>
        <w:rPr>
          <w:rFonts w:hint="eastAsia" w:ascii="仿宋_GB2312" w:hAnsi="仿宋_GB2312" w:eastAsia="仿宋_GB2312" w:cs="仿宋_GB2312"/>
          <w:color w:val="000000"/>
          <w:kern w:val="0"/>
          <w:sz w:val="32"/>
          <w:szCs w:val="31"/>
        </w:rPr>
        <w:t>审计</w:t>
      </w:r>
      <w:r>
        <w:rPr>
          <w:rFonts w:hint="eastAsia" w:ascii="仿宋_GB2312" w:hAnsi="仿宋_GB2312" w:eastAsia="仿宋_GB2312" w:cs="仿宋_GB2312"/>
          <w:color w:val="000000"/>
          <w:kern w:val="0"/>
          <w:sz w:val="32"/>
          <w:szCs w:val="31"/>
          <w:lang w:eastAsia="zh-CN"/>
        </w:rPr>
        <w:t>覆盖政府投资</w:t>
      </w:r>
      <w:r>
        <w:rPr>
          <w:rFonts w:hint="eastAsia" w:ascii="仿宋_GB2312" w:hAnsi="仿宋_GB2312" w:eastAsia="仿宋_GB2312" w:cs="仿宋_GB2312"/>
          <w:color w:val="000000"/>
          <w:kern w:val="0"/>
          <w:sz w:val="32"/>
          <w:szCs w:val="31"/>
        </w:rPr>
        <w:t>项目数量22个，</w:t>
      </w:r>
      <w:r>
        <w:rPr>
          <w:rFonts w:hint="eastAsia" w:ascii="仿宋_GB2312" w:hAnsi="仿宋_GB2312" w:eastAsia="仿宋_GB2312" w:cs="仿宋_GB2312"/>
          <w:color w:val="000000"/>
          <w:kern w:val="0"/>
          <w:sz w:val="32"/>
          <w:szCs w:val="31"/>
          <w:lang w:eastAsia="zh-CN"/>
        </w:rPr>
        <w:t>涉及项目</w:t>
      </w:r>
      <w:r>
        <w:rPr>
          <w:rFonts w:hint="eastAsia" w:ascii="仿宋_GB2312" w:hAnsi="仿宋_GB2312" w:eastAsia="仿宋_GB2312" w:cs="仿宋_GB2312"/>
          <w:color w:val="000000"/>
          <w:kern w:val="0"/>
          <w:sz w:val="32"/>
          <w:szCs w:val="31"/>
        </w:rPr>
        <w:t>总投资4654亿元</w:t>
      </w:r>
      <w:r>
        <w:rPr>
          <w:rFonts w:hint="eastAsia" w:ascii="仿宋_GB2312" w:hAnsi="仿宋_GB2312" w:eastAsia="仿宋_GB2312" w:cs="仿宋_GB2312"/>
          <w:color w:val="000000"/>
          <w:kern w:val="0"/>
          <w:sz w:val="32"/>
          <w:szCs w:val="31"/>
          <w:lang w:eastAsia="zh-CN"/>
        </w:rPr>
        <w:t>。审计反映了</w:t>
      </w:r>
      <w:r>
        <w:rPr>
          <w:rFonts w:hint="eastAsia" w:ascii="仿宋_GB2312" w:hAnsi="仿宋_GB2312" w:eastAsia="仿宋_GB2312" w:cs="仿宋"/>
          <w:sz w:val="32"/>
          <w:szCs w:val="32"/>
        </w:rPr>
        <w:t>项目在招投标、投资控制、</w:t>
      </w:r>
      <w:r>
        <w:rPr>
          <w:rFonts w:hint="eastAsia" w:ascii="仿宋_GB2312" w:hAnsi="仿宋_GB2312" w:eastAsia="仿宋_GB2312" w:cs="仿宋"/>
          <w:sz w:val="32"/>
          <w:szCs w:val="32"/>
          <w:lang w:eastAsia="zh-CN"/>
        </w:rPr>
        <w:t>建设资金管理使用和</w:t>
      </w:r>
      <w:r>
        <w:rPr>
          <w:rFonts w:hint="eastAsia" w:ascii="仿宋_GB2312" w:hAnsi="仿宋_GB2312" w:eastAsia="仿宋_GB2312" w:cs="仿宋"/>
          <w:sz w:val="32"/>
          <w:szCs w:val="32"/>
        </w:rPr>
        <w:t>配套设施建设等方面的问题</w:t>
      </w:r>
      <w:r>
        <w:rPr>
          <w:rFonts w:hint="eastAsia" w:ascii="仿宋_GB2312" w:hAnsi="仿宋_GB2312" w:eastAsia="仿宋_GB2312" w:cs="仿宋"/>
          <w:sz w:val="32"/>
          <w:szCs w:val="32"/>
          <w:lang w:eastAsia="zh-CN"/>
        </w:rPr>
        <w:t>，</w:t>
      </w:r>
      <w:r>
        <w:rPr>
          <w:rFonts w:hint="eastAsia" w:ascii="仿宋_GB2312" w:hAnsi="仿宋_GB2312" w:eastAsia="仿宋_GB2312"/>
          <w:sz w:val="32"/>
          <w:szCs w:val="32"/>
          <w:lang w:eastAsia="zh-CN"/>
        </w:rPr>
        <w:t>审计发现问题被政策跟踪审计报告采用</w:t>
      </w:r>
      <w:r>
        <w:rPr>
          <w:rFonts w:hint="eastAsia" w:ascii="仿宋_GB2312" w:hAnsi="仿宋_GB2312" w:eastAsia="仿宋_GB2312"/>
          <w:sz w:val="32"/>
          <w:szCs w:val="32"/>
          <w:lang w:val="en-US" w:eastAsia="zh-CN"/>
        </w:rPr>
        <w:t>3个</w:t>
      </w:r>
      <w:r>
        <w:rPr>
          <w:rFonts w:hint="eastAsia" w:ascii="仿宋_GB2312" w:hAnsi="仿宋_GB2312" w:eastAsia="仿宋_GB2312"/>
          <w:sz w:val="32"/>
          <w:szCs w:val="32"/>
        </w:rPr>
        <w:t>。</w:t>
      </w:r>
      <w:r>
        <w:rPr>
          <w:rFonts w:hint="eastAsia" w:ascii="仿宋_GB2312" w:hAnsi="仿宋_GB2312" w:eastAsia="仿宋_GB2312" w:cs="仿宋_GB2312"/>
          <w:color w:val="000000"/>
          <w:kern w:val="0"/>
          <w:sz w:val="32"/>
          <w:szCs w:val="31"/>
        </w:rPr>
        <w:t>除此之外全年组织编</w:t>
      </w:r>
      <w:r>
        <w:rPr>
          <w:rFonts w:hint="eastAsia" w:ascii="仿宋_GB2312" w:hAnsi="仿宋_GB2312" w:eastAsia="仿宋_GB2312" w:cs="仿宋_GB2312"/>
          <w:color w:val="000000"/>
          <w:kern w:val="0"/>
          <w:sz w:val="32"/>
          <w:szCs w:val="31"/>
          <w:lang w:eastAsia="zh-CN"/>
        </w:rPr>
        <w:t>写</w:t>
      </w:r>
      <w:r>
        <w:rPr>
          <w:rFonts w:hint="eastAsia" w:ascii="仿宋_GB2312" w:hAnsi="仿宋_GB2312" w:eastAsia="仿宋_GB2312" w:cs="仿宋_GB2312"/>
          <w:color w:val="000000"/>
          <w:kern w:val="0"/>
          <w:sz w:val="32"/>
          <w:szCs w:val="31"/>
        </w:rPr>
        <w:t>业务信息 21篇，1篇被审计署采</w:t>
      </w:r>
      <w:r>
        <w:rPr>
          <w:rFonts w:hint="eastAsia" w:ascii="仿宋_GB2312" w:hAnsi="仿宋_GB2312" w:eastAsia="仿宋_GB2312" w:cs="仿宋_GB2312"/>
          <w:color w:val="000000"/>
          <w:kern w:val="0"/>
          <w:sz w:val="32"/>
          <w:szCs w:val="31"/>
          <w:highlight w:val="none"/>
        </w:rPr>
        <w:t>用；3篇专报</w:t>
      </w:r>
      <w:r>
        <w:rPr>
          <w:rFonts w:hint="eastAsia" w:ascii="仿宋_GB2312" w:hAnsi="仿宋_GB2312" w:eastAsia="仿宋_GB2312" w:cs="仿宋_GB2312"/>
          <w:color w:val="000000"/>
          <w:kern w:val="0"/>
          <w:sz w:val="32"/>
          <w:szCs w:val="31"/>
          <w:highlight w:val="none"/>
          <w:lang w:eastAsia="zh-CN"/>
        </w:rPr>
        <w:t>，</w:t>
      </w:r>
      <w:r>
        <w:rPr>
          <w:rFonts w:hint="eastAsia" w:ascii="仿宋_GB2312" w:hAnsi="仿宋_GB2312" w:eastAsia="仿宋_GB2312" w:cs="仿宋_GB2312"/>
          <w:color w:val="000000"/>
          <w:kern w:val="0"/>
          <w:sz w:val="32"/>
          <w:szCs w:val="31"/>
          <w:highlight w:val="none"/>
        </w:rPr>
        <w:t>其中2篇获得省领导肯定性批示</w:t>
      </w:r>
      <w:r>
        <w:rPr>
          <w:rFonts w:hint="eastAsia" w:ascii="仿宋_GB2312" w:hAnsi="仿宋_GB2312" w:eastAsia="仿宋_GB2312" w:cs="仿宋_GB2312"/>
          <w:color w:val="000000"/>
          <w:kern w:val="0"/>
          <w:sz w:val="32"/>
          <w:szCs w:val="31"/>
        </w:rPr>
        <w:t>。</w:t>
      </w:r>
    </w:p>
    <w:p>
      <w:pPr>
        <w:pStyle w:val="4"/>
        <w:numPr>
          <w:ilvl w:val="0"/>
          <w:numId w:val="0"/>
        </w:numPr>
        <w:ind w:firstLine="640" w:firstLineChars="200"/>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三、机构设置情况</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1"/>
          <w:lang w:val="en-US" w:eastAsia="zh-CN" w:bidi="ar-SA"/>
        </w:rPr>
      </w:pPr>
      <w:r>
        <w:rPr>
          <w:rFonts w:hint="eastAsia" w:ascii="仿宋_GB2312" w:hAnsi="仿宋_GB2312" w:eastAsia="仿宋_GB2312" w:cs="仿宋_GB2312"/>
          <w:color w:val="000000"/>
          <w:kern w:val="0"/>
          <w:sz w:val="32"/>
          <w:szCs w:val="31"/>
          <w:lang w:val="en-US" w:eastAsia="zh-CN" w:bidi="ar-SA"/>
        </w:rPr>
        <w:t>我单位是审计厅下属正处级二级预算单位，无内设科室，无下属单位。</w:t>
      </w:r>
    </w:p>
    <w:p>
      <w:pPr>
        <w:pStyle w:val="2"/>
        <w:rPr>
          <w:rFonts w:hint="eastAsia"/>
          <w:lang w:val="en-US" w:eastAsia="zh-CN"/>
        </w:rPr>
      </w:pPr>
    </w:p>
    <w:p>
      <w:pPr>
        <w:widowControl/>
        <w:ind w:firstLine="640" w:firstLineChars="200"/>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203.76万元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23.69万元</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13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2021年人员经费相应增加。</w:t>
      </w:r>
    </w:p>
    <w:p>
      <w:pPr>
        <w:spacing w:line="240" w:lineRule="auto"/>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60288" behindDoc="0" locked="0" layoutInCell="1" allowOverlap="1">
            <wp:simplePos x="0" y="0"/>
            <wp:positionH relativeFrom="column">
              <wp:posOffset>355600</wp:posOffset>
            </wp:positionH>
            <wp:positionV relativeFrom="paragraph">
              <wp:posOffset>261620</wp:posOffset>
            </wp:positionV>
            <wp:extent cx="4587240" cy="2758440"/>
            <wp:effectExtent l="0" t="0" r="0" b="0"/>
            <wp:wrapSquare wrapText="bothSides"/>
            <wp:docPr id="8" name="图片 8"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图片1"/>
                    <pic:cNvPicPr>
                      <a:picLocks noChangeAspect="true"/>
                    </pic:cNvPicPr>
                  </pic:nvPicPr>
                  <pic:blipFill>
                    <a:blip r:embed="rId6"/>
                    <a:stretch>
                      <a:fillRect/>
                    </a:stretch>
                  </pic:blipFill>
                  <pic:spPr>
                    <a:xfrm>
                      <a:off x="0" y="0"/>
                      <a:ext cx="4587240" cy="2758440"/>
                    </a:xfrm>
                    <a:prstGeom prst="rect">
                      <a:avLst/>
                    </a:prstGeom>
                  </pic:spPr>
                </pic:pic>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1280" w:firstLineChars="4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203.76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203.76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eastAsia="zh-CN"/>
        </w:rPr>
      </w:pPr>
    </w:p>
    <w:p>
      <w:pPr>
        <w:pStyle w:val="2"/>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61312" behindDoc="0" locked="0" layoutInCell="1" allowOverlap="1">
            <wp:simplePos x="0" y="0"/>
            <wp:positionH relativeFrom="column">
              <wp:posOffset>285750</wp:posOffset>
            </wp:positionH>
            <wp:positionV relativeFrom="paragraph">
              <wp:posOffset>20320</wp:posOffset>
            </wp:positionV>
            <wp:extent cx="4587240" cy="2758440"/>
            <wp:effectExtent l="0" t="0" r="0" b="0"/>
            <wp:wrapSquare wrapText="bothSides"/>
            <wp:docPr id="9" name="图片 9"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图片2"/>
                    <pic:cNvPicPr>
                      <a:picLocks noChangeAspect="true"/>
                    </pic:cNvPicPr>
                  </pic:nvPicPr>
                  <pic:blipFill>
                    <a:blip r:embed="rId7"/>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1920" w:firstLineChars="600"/>
        <w:rPr>
          <w:rFonts w:hint="eastAsia" w:ascii="仿宋" w:hAnsi="仿宋" w:eastAsia="仿宋"/>
          <w:color w:val="auto"/>
          <w:sz w:val="32"/>
          <w:szCs w:val="32"/>
          <w:highlight w:val="none"/>
        </w:rPr>
      </w:pPr>
    </w:p>
    <w:p>
      <w:pPr>
        <w:spacing w:line="600" w:lineRule="exact"/>
        <w:ind w:firstLine="1920" w:firstLineChars="600"/>
        <w:rPr>
          <w:rFonts w:hint="eastAsia" w:ascii="仿宋" w:hAnsi="仿宋" w:eastAsia="仿宋"/>
          <w:color w:val="auto"/>
          <w:sz w:val="32"/>
          <w:szCs w:val="32"/>
          <w:highlight w:val="none"/>
        </w:rPr>
      </w:pPr>
    </w:p>
    <w:p>
      <w:pPr>
        <w:spacing w:line="600" w:lineRule="exact"/>
        <w:ind w:firstLine="1920" w:firstLineChars="6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203.76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203.76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240" w:lineRule="auto"/>
        <w:ind w:firstLine="640"/>
        <w:rPr>
          <w:rFonts w:hint="eastAsia" w:ascii="仿宋" w:hAnsi="仿宋" w:eastAsia="仿宋"/>
          <w:color w:val="auto"/>
          <w:sz w:val="32"/>
          <w:szCs w:val="32"/>
          <w:highlight w:val="none"/>
          <w:shd w:val="pct10" w:color="auto" w:fill="FFFFFF"/>
          <w:lang w:eastAsia="zh-CN"/>
        </w:rPr>
      </w:pPr>
      <w:r>
        <w:rPr>
          <w:rFonts w:hint="eastAsia" w:ascii="仿宋" w:hAnsi="仿宋" w:eastAsia="仿宋"/>
          <w:color w:val="auto"/>
          <w:sz w:val="32"/>
          <w:szCs w:val="32"/>
          <w:highlight w:val="none"/>
          <w:shd w:val="pct10" w:color="auto" w:fill="FFFFFF"/>
          <w:lang w:eastAsia="zh-CN"/>
        </w:rPr>
        <w:drawing>
          <wp:anchor distT="0" distB="0" distL="114935" distR="114935" simplePos="0" relativeHeight="251662336" behindDoc="0" locked="0" layoutInCell="1" allowOverlap="1">
            <wp:simplePos x="0" y="0"/>
            <wp:positionH relativeFrom="column">
              <wp:posOffset>457200</wp:posOffset>
            </wp:positionH>
            <wp:positionV relativeFrom="paragraph">
              <wp:posOffset>312420</wp:posOffset>
            </wp:positionV>
            <wp:extent cx="4587240" cy="2758440"/>
            <wp:effectExtent l="0" t="0" r="0" b="0"/>
            <wp:wrapSquare wrapText="bothSides"/>
            <wp:docPr id="10" name="图片 10"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图片3"/>
                    <pic:cNvPicPr>
                      <a:picLocks noChangeAspect="true"/>
                    </pic:cNvPicPr>
                  </pic:nvPicPr>
                  <pic:blipFill>
                    <a:blip r:embed="rId8"/>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spacing w:line="600" w:lineRule="exact"/>
        <w:ind w:firstLine="2240" w:firstLineChars="7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203.76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23.69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人员经费支出的增加。</w:t>
      </w:r>
    </w:p>
    <w:p>
      <w:pPr>
        <w:spacing w:line="240" w:lineRule="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63360" behindDoc="0" locked="0" layoutInCell="1" allowOverlap="1">
            <wp:simplePos x="0" y="0"/>
            <wp:positionH relativeFrom="column">
              <wp:posOffset>323850</wp:posOffset>
            </wp:positionH>
            <wp:positionV relativeFrom="paragraph">
              <wp:posOffset>179070</wp:posOffset>
            </wp:positionV>
            <wp:extent cx="4587240" cy="2758440"/>
            <wp:effectExtent l="0" t="0" r="0" b="0"/>
            <wp:wrapSquare wrapText="bothSides"/>
            <wp:docPr id="11" name="图片 11"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图片4"/>
                    <pic:cNvPicPr>
                      <a:picLocks noChangeAspect="true"/>
                    </pic:cNvPicPr>
                  </pic:nvPicPr>
                  <pic:blipFill>
                    <a:blip r:embed="rId9"/>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960" w:firstLineChars="3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2"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203.76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23.69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人员经费支出的增加。</w:t>
      </w: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64384" behindDoc="0" locked="0" layoutInCell="1" allowOverlap="1">
            <wp:simplePos x="0" y="0"/>
            <wp:positionH relativeFrom="column">
              <wp:posOffset>266700</wp:posOffset>
            </wp:positionH>
            <wp:positionV relativeFrom="paragraph">
              <wp:posOffset>26670</wp:posOffset>
            </wp:positionV>
            <wp:extent cx="4587240" cy="2758440"/>
            <wp:effectExtent l="0" t="0" r="0" b="0"/>
            <wp:wrapSquare wrapText="bothSides"/>
            <wp:docPr id="12" name="图片 12"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图片5"/>
                    <pic:cNvPicPr>
                      <a:picLocks noChangeAspect="true"/>
                    </pic:cNvPicPr>
                  </pic:nvPicPr>
                  <pic:blipFill>
                    <a:blip r:embed="rId10"/>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lang w:eastAsia="zh-CN"/>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图5：一般公共预算财政拨款支出决算变动情况）</w:t>
      </w:r>
    </w:p>
    <w:p>
      <w:pPr>
        <w:spacing w:line="600" w:lineRule="exact"/>
        <w:ind w:firstLine="642"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203.76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支出140.32万元，占</w:t>
      </w:r>
      <w:r>
        <w:rPr>
          <w:rFonts w:hint="eastAsia" w:ascii="仿宋" w:hAnsi="仿宋" w:eastAsia="仿宋"/>
          <w:color w:val="auto"/>
          <w:sz w:val="32"/>
          <w:szCs w:val="32"/>
          <w:highlight w:val="none"/>
          <w:lang w:val="en-US" w:eastAsia="zh-CN"/>
        </w:rPr>
        <w:t>69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支出23.41万元，占</w:t>
      </w:r>
      <w:r>
        <w:rPr>
          <w:rFonts w:hint="eastAsia" w:ascii="仿宋" w:hAnsi="仿宋" w:eastAsia="仿宋"/>
          <w:color w:val="auto"/>
          <w:sz w:val="32"/>
          <w:szCs w:val="32"/>
          <w:highlight w:val="none"/>
          <w:lang w:val="en-US" w:eastAsia="zh-CN"/>
        </w:rPr>
        <w:t>11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rPr>
        <w:t>9.44万元，占</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rPr>
        <w:t>30.59万元，占</w:t>
      </w:r>
      <w:r>
        <w:rPr>
          <w:rFonts w:hint="eastAsia" w:ascii="仿宋" w:hAnsi="仿宋" w:eastAsia="仿宋"/>
          <w:color w:val="auto"/>
          <w:sz w:val="32"/>
          <w:szCs w:val="32"/>
          <w:highlight w:val="none"/>
          <w:lang w:val="en-US" w:eastAsia="zh-CN"/>
        </w:rPr>
        <w:t>15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65408" behindDoc="0" locked="0" layoutInCell="1" allowOverlap="1">
            <wp:simplePos x="0" y="0"/>
            <wp:positionH relativeFrom="column">
              <wp:posOffset>355600</wp:posOffset>
            </wp:positionH>
            <wp:positionV relativeFrom="paragraph">
              <wp:posOffset>217170</wp:posOffset>
            </wp:positionV>
            <wp:extent cx="4587240" cy="2758440"/>
            <wp:effectExtent l="0" t="0" r="0" b="0"/>
            <wp:wrapSquare wrapText="bothSides"/>
            <wp:docPr id="13" name="图片 13" descr="图片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图片6"/>
                    <pic:cNvPicPr>
                      <a:picLocks noChangeAspect="true"/>
                    </pic:cNvPicPr>
                  </pic:nvPicPr>
                  <pic:blipFill>
                    <a:blip r:embed="rId11"/>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2"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2" w:firstLineChars="200"/>
        <w:outlineLvl w:val="2"/>
        <w:rPr>
          <w:rFonts w:ascii="仿宋" w:hAnsi="仿宋" w:eastAsia="仿宋"/>
          <w:color w:val="auto"/>
          <w:sz w:val="32"/>
          <w:szCs w:val="32"/>
          <w:highlight w:val="none"/>
        </w:rPr>
      </w:pPr>
      <w:bookmarkStart w:id="31" w:name="_Toc15377213"/>
      <w:bookmarkStart w:id="32" w:name="_Toc15378460"/>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lang w:val="en-US" w:eastAsia="zh-CN"/>
        </w:rPr>
        <w:t>203.76万元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82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spacing w:line="56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一般公共服务（类）审计事务（款）</w:t>
      </w:r>
      <w:r>
        <w:rPr>
          <w:rStyle w:val="14"/>
          <w:rFonts w:hint="eastAsia" w:ascii="仿宋" w:hAnsi="仿宋" w:eastAsia="仿宋"/>
          <w:bCs/>
          <w:color w:val="000000"/>
          <w:sz w:val="32"/>
          <w:szCs w:val="32"/>
          <w:lang w:eastAsia="zh-CN"/>
        </w:rPr>
        <w:t>事业运行</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140.32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highlight w:val="none"/>
          <w:lang w:val="en-US" w:eastAsia="zh-CN"/>
        </w:rPr>
        <w:t>85</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rPr>
        <w:t>。</w:t>
      </w:r>
      <w:r>
        <w:rPr>
          <w:rStyle w:val="14"/>
          <w:rFonts w:hint="eastAsia" w:ascii="仿宋" w:hAnsi="仿宋" w:eastAsia="仿宋"/>
          <w:b w:val="0"/>
          <w:bCs/>
          <w:color w:val="000000"/>
          <w:sz w:val="32"/>
          <w:szCs w:val="32"/>
          <w:lang w:eastAsia="zh-CN"/>
        </w:rPr>
        <w:t>决算数小于预算数的原因是</w:t>
      </w:r>
      <w:r>
        <w:rPr>
          <w:rStyle w:val="14"/>
          <w:rFonts w:hint="eastAsia" w:ascii="仿宋" w:hAnsi="仿宋" w:eastAsia="仿宋"/>
          <w:b w:val="0"/>
          <w:bCs/>
          <w:color w:val="000000"/>
          <w:sz w:val="32"/>
          <w:szCs w:val="32"/>
          <w:lang w:val="en-US" w:eastAsia="zh-CN"/>
        </w:rPr>
        <w:t>人员变动导致人员经费支出变化</w:t>
      </w:r>
      <w:r>
        <w:rPr>
          <w:rStyle w:val="14"/>
          <w:rFonts w:hint="eastAsia" w:ascii="仿宋" w:hAnsi="仿宋" w:eastAsia="仿宋"/>
          <w:b w:val="0"/>
          <w:bCs/>
          <w:color w:val="000000"/>
          <w:sz w:val="32"/>
          <w:szCs w:val="32"/>
          <w:lang w:eastAsia="zh-CN"/>
        </w:rPr>
        <w:t>。</w:t>
      </w:r>
    </w:p>
    <w:p>
      <w:pPr>
        <w:spacing w:line="560" w:lineRule="exact"/>
        <w:ind w:firstLine="642" w:firstLineChars="200"/>
        <w:rPr>
          <w:rFonts w:ascii="仿宋" w:hAnsi="仿宋" w:eastAsia="仿宋"/>
          <w:b/>
          <w:color w:val="000000"/>
          <w:sz w:val="32"/>
          <w:szCs w:val="32"/>
          <w:highlight w:val="none"/>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Fonts w:ascii="仿宋" w:hAnsi="仿宋" w:eastAsia="仿宋"/>
          <w:b/>
          <w:color w:val="000000"/>
          <w:sz w:val="32"/>
          <w:szCs w:val="32"/>
        </w:rPr>
        <w:t>社会保障和就业（类）行政事业单位养老支出（款）机关事业单位基本养老保险缴费支出（项）:</w:t>
      </w:r>
      <w:r>
        <w:rPr>
          <w:rFonts w:ascii="仿宋" w:hAnsi="仿宋" w:eastAsia="仿宋"/>
          <w:color w:val="000000"/>
          <w:sz w:val="32"/>
          <w:szCs w:val="32"/>
        </w:rPr>
        <w:t>支出决算为</w:t>
      </w:r>
      <w:r>
        <w:rPr>
          <w:rFonts w:hint="eastAsia" w:ascii="仿宋" w:hAnsi="仿宋" w:eastAsia="仿宋"/>
          <w:color w:val="000000"/>
          <w:sz w:val="32"/>
          <w:szCs w:val="32"/>
          <w:lang w:val="en-US" w:eastAsia="zh-CN"/>
        </w:rPr>
        <w:t>15.42</w:t>
      </w:r>
      <w:r>
        <w:rPr>
          <w:rFonts w:ascii="仿宋" w:hAnsi="仿宋" w:eastAsia="仿宋"/>
          <w:color w:val="000000"/>
          <w:sz w:val="32"/>
          <w:szCs w:val="32"/>
        </w:rPr>
        <w:t>万元，完成</w:t>
      </w:r>
      <w:r>
        <w:rPr>
          <w:rFonts w:ascii="仿宋" w:hAnsi="仿宋" w:eastAsia="仿宋"/>
          <w:color w:val="000000"/>
          <w:sz w:val="32"/>
          <w:szCs w:val="32"/>
          <w:highlight w:val="none"/>
        </w:rPr>
        <w:t>预算</w:t>
      </w:r>
      <w:r>
        <w:rPr>
          <w:rFonts w:hint="eastAsia" w:ascii="仿宋" w:hAnsi="仿宋" w:eastAsia="仿宋"/>
          <w:color w:val="000000"/>
          <w:sz w:val="32"/>
          <w:szCs w:val="32"/>
          <w:highlight w:val="none"/>
          <w:lang w:val="en-US" w:eastAsia="zh-CN"/>
        </w:rPr>
        <w:t>96</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r>
        <w:rPr>
          <w:rStyle w:val="14"/>
          <w:rFonts w:hint="eastAsia" w:ascii="仿宋" w:hAnsi="仿宋" w:eastAsia="仿宋"/>
          <w:b w:val="0"/>
          <w:bCs/>
          <w:color w:val="000000"/>
          <w:sz w:val="32"/>
          <w:szCs w:val="32"/>
          <w:lang w:eastAsia="zh-CN"/>
        </w:rPr>
        <w:t>决算数小于预算数的原因是</w:t>
      </w:r>
      <w:r>
        <w:rPr>
          <w:rStyle w:val="14"/>
          <w:rFonts w:hint="eastAsia" w:ascii="仿宋" w:hAnsi="仿宋" w:eastAsia="仿宋"/>
          <w:b w:val="0"/>
          <w:bCs/>
          <w:color w:val="000000"/>
          <w:sz w:val="32"/>
          <w:szCs w:val="32"/>
          <w:lang w:val="en-US" w:eastAsia="zh-CN"/>
        </w:rPr>
        <w:t>养老保险缴费金额</w:t>
      </w:r>
      <w:r>
        <w:rPr>
          <w:rStyle w:val="14"/>
          <w:rFonts w:hint="eastAsia" w:ascii="仿宋" w:hAnsi="仿宋" w:eastAsia="仿宋"/>
          <w:b w:val="0"/>
          <w:bCs/>
          <w:color w:val="000000"/>
          <w:sz w:val="32"/>
          <w:szCs w:val="32"/>
          <w:lang w:eastAsia="zh-CN"/>
        </w:rPr>
        <w:t>变动所致。</w:t>
      </w:r>
    </w:p>
    <w:p>
      <w:pPr>
        <w:autoSpaceDN w:val="0"/>
        <w:spacing w:line="560" w:lineRule="exact"/>
        <w:rPr>
          <w:rFonts w:ascii="仿宋" w:hAnsi="仿宋" w:eastAsia="仿宋"/>
          <w:color w:val="000000"/>
          <w:sz w:val="32"/>
          <w:szCs w:val="32"/>
          <w:highlight w:val="none"/>
        </w:rPr>
      </w:pPr>
      <w:r>
        <w:rPr>
          <w:rFonts w:hint="eastAsia" w:ascii="仿宋" w:hAnsi="仿宋" w:eastAsia="仿宋"/>
          <w:b/>
          <w:color w:val="000000"/>
          <w:sz w:val="32"/>
          <w:szCs w:val="32"/>
          <w:lang w:val="en-US" w:eastAsia="zh-CN"/>
        </w:rPr>
        <w:t xml:space="preserve">    4</w:t>
      </w:r>
      <w:r>
        <w:rPr>
          <w:rFonts w:hint="eastAsia" w:ascii="仿宋" w:hAnsi="仿宋" w:eastAsia="仿宋"/>
          <w:b/>
          <w:color w:val="000000"/>
          <w:sz w:val="32"/>
          <w:szCs w:val="32"/>
        </w:rPr>
        <w:t>.</w:t>
      </w:r>
      <w:r>
        <w:rPr>
          <w:rFonts w:ascii="仿宋" w:hAnsi="仿宋" w:eastAsia="仿宋"/>
          <w:b/>
          <w:color w:val="000000"/>
          <w:sz w:val="32"/>
          <w:szCs w:val="32"/>
        </w:rPr>
        <w:t>社会保障和就业（类）行政事业单位养老支出（款）机关事业单位职业年金缴费支出（项）:</w:t>
      </w:r>
      <w:r>
        <w:rPr>
          <w:rFonts w:ascii="仿宋" w:hAnsi="仿宋" w:eastAsia="仿宋"/>
          <w:color w:val="000000"/>
          <w:sz w:val="32"/>
          <w:szCs w:val="32"/>
        </w:rPr>
        <w:t>支出决算为</w:t>
      </w:r>
      <w:r>
        <w:rPr>
          <w:rFonts w:hint="eastAsia" w:ascii="仿宋" w:hAnsi="仿宋" w:eastAsia="仿宋"/>
          <w:color w:val="000000"/>
          <w:sz w:val="32"/>
          <w:szCs w:val="32"/>
          <w:lang w:val="en-US" w:eastAsia="zh-CN"/>
        </w:rPr>
        <w:t>8</w:t>
      </w:r>
      <w:r>
        <w:rPr>
          <w:rFonts w:ascii="仿宋" w:hAnsi="仿宋" w:eastAsia="仿宋"/>
          <w:color w:val="000000"/>
          <w:sz w:val="32"/>
          <w:szCs w:val="32"/>
        </w:rPr>
        <w:t>万元，完成预算</w:t>
      </w:r>
      <w:r>
        <w:rPr>
          <w:rFonts w:ascii="仿宋" w:hAnsi="仿宋" w:eastAsia="仿宋"/>
          <w:color w:val="000000"/>
          <w:sz w:val="32"/>
          <w:szCs w:val="32"/>
          <w:highlight w:val="none"/>
        </w:rPr>
        <w:t>100%。</w:t>
      </w:r>
    </w:p>
    <w:p>
      <w:pPr>
        <w:spacing w:line="560" w:lineRule="exact"/>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 xml:space="preserve">    5</w:t>
      </w:r>
      <w:r>
        <w:rPr>
          <w:rStyle w:val="14"/>
          <w:rFonts w:ascii="仿宋" w:hAnsi="仿宋" w:eastAsia="仿宋"/>
          <w:bCs/>
          <w:color w:val="000000"/>
          <w:sz w:val="32"/>
          <w:szCs w:val="32"/>
        </w:rPr>
        <w:t>.</w:t>
      </w:r>
      <w:r>
        <w:rPr>
          <w:rFonts w:ascii="仿宋" w:hAnsi="仿宋" w:eastAsia="仿宋"/>
          <w:b/>
          <w:color w:val="000000"/>
          <w:sz w:val="32"/>
          <w:szCs w:val="32"/>
        </w:rPr>
        <w:t>卫生健康（类）行政事业单位医疗（款）事业单位医疗（项）: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9.44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highlight w:val="none"/>
        </w:rPr>
        <w:t>100</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rPr>
        <w:t>。</w:t>
      </w:r>
    </w:p>
    <w:p>
      <w:pPr>
        <w:spacing w:line="560" w:lineRule="exact"/>
        <w:ind w:firstLine="642" w:firstLineChars="200"/>
        <w:rPr>
          <w:rFonts w:ascii="仿宋" w:hAnsi="仿宋" w:eastAsia="仿宋"/>
          <w:color w:val="000000"/>
          <w:sz w:val="32"/>
          <w:szCs w:val="32"/>
        </w:rPr>
      </w:pPr>
      <w:r>
        <w:rPr>
          <w:rFonts w:hint="eastAsia" w:ascii="仿宋" w:hAnsi="仿宋" w:eastAsia="仿宋"/>
          <w:b/>
          <w:color w:val="000000"/>
          <w:sz w:val="32"/>
          <w:szCs w:val="32"/>
          <w:lang w:val="en-US" w:eastAsia="zh-CN"/>
        </w:rPr>
        <w:t>6</w:t>
      </w:r>
      <w:r>
        <w:rPr>
          <w:rFonts w:hint="eastAsia" w:ascii="仿宋" w:hAnsi="仿宋" w:eastAsia="仿宋"/>
          <w:b/>
          <w:color w:val="000000"/>
          <w:sz w:val="32"/>
          <w:szCs w:val="32"/>
        </w:rPr>
        <w:t>.</w:t>
      </w:r>
      <w:r>
        <w:rPr>
          <w:rFonts w:ascii="仿宋" w:hAnsi="仿宋" w:eastAsia="仿宋"/>
          <w:b/>
          <w:color w:val="000000"/>
          <w:sz w:val="32"/>
          <w:szCs w:val="32"/>
        </w:rPr>
        <w:t>住房保障（类）住房改革支出（款）住房公积金（项）:</w:t>
      </w:r>
      <w:r>
        <w:rPr>
          <w:rFonts w:ascii="仿宋" w:hAnsi="仿宋" w:eastAsia="仿宋"/>
          <w:color w:val="000000"/>
          <w:sz w:val="32"/>
          <w:szCs w:val="32"/>
        </w:rPr>
        <w:t>支出决算为</w:t>
      </w:r>
      <w:r>
        <w:rPr>
          <w:rFonts w:hint="eastAsia" w:ascii="仿宋" w:hAnsi="仿宋" w:eastAsia="仿宋"/>
          <w:color w:val="000000"/>
          <w:sz w:val="32"/>
          <w:szCs w:val="32"/>
        </w:rPr>
        <w:t>12.05</w:t>
      </w:r>
      <w:r>
        <w:rPr>
          <w:rFonts w:ascii="仿宋" w:hAnsi="仿宋" w:eastAsia="仿宋"/>
          <w:color w:val="000000"/>
          <w:sz w:val="32"/>
          <w:szCs w:val="32"/>
        </w:rPr>
        <w:t>万元，完成预算</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Style w:val="14"/>
          <w:rFonts w:hint="eastAsia" w:ascii="仿宋" w:hAnsi="仿宋" w:eastAsia="仿宋"/>
          <w:b w:val="0"/>
          <w:bCs/>
          <w:color w:val="000000"/>
          <w:sz w:val="32"/>
          <w:szCs w:val="32"/>
          <w:lang w:eastAsia="zh-CN"/>
        </w:rPr>
        <w:t>。</w:t>
      </w:r>
    </w:p>
    <w:p>
      <w:pPr>
        <w:autoSpaceDN w:val="0"/>
        <w:spacing w:line="560" w:lineRule="exact"/>
        <w:rPr>
          <w:rFonts w:ascii="仿宋" w:hAnsi="仿宋" w:eastAsia="仿宋"/>
          <w:b/>
          <w:color w:val="auto"/>
          <w:sz w:val="32"/>
          <w:szCs w:val="32"/>
          <w:highlight w:val="none"/>
        </w:rPr>
      </w:pPr>
      <w:r>
        <w:rPr>
          <w:rFonts w:hint="eastAsia" w:ascii="仿宋" w:hAnsi="仿宋" w:eastAsia="仿宋"/>
          <w:b/>
          <w:color w:val="000000"/>
          <w:sz w:val="32"/>
          <w:szCs w:val="32"/>
          <w:lang w:val="en-US" w:eastAsia="zh-CN"/>
        </w:rPr>
        <w:t xml:space="preserve">    7</w:t>
      </w:r>
      <w:r>
        <w:rPr>
          <w:rFonts w:hint="eastAsia" w:ascii="仿宋" w:hAnsi="仿宋" w:eastAsia="仿宋"/>
          <w:b/>
          <w:color w:val="000000"/>
          <w:sz w:val="32"/>
          <w:szCs w:val="32"/>
        </w:rPr>
        <w:t>.</w:t>
      </w:r>
      <w:r>
        <w:rPr>
          <w:rFonts w:ascii="仿宋" w:hAnsi="仿宋" w:eastAsia="仿宋"/>
          <w:b/>
          <w:color w:val="000000"/>
          <w:sz w:val="32"/>
          <w:szCs w:val="32"/>
        </w:rPr>
        <w:t>住房保障（类）住房改革支出（款）购房补贴（项）:</w:t>
      </w:r>
      <w:r>
        <w:rPr>
          <w:rFonts w:ascii="仿宋" w:hAnsi="仿宋" w:eastAsia="仿宋"/>
          <w:color w:val="000000"/>
          <w:sz w:val="32"/>
          <w:szCs w:val="32"/>
        </w:rPr>
        <w:t>支出决算为</w:t>
      </w:r>
      <w:r>
        <w:rPr>
          <w:rFonts w:hint="eastAsia" w:ascii="仿宋" w:hAnsi="仿宋" w:eastAsia="仿宋"/>
          <w:color w:val="000000"/>
          <w:sz w:val="32"/>
          <w:szCs w:val="32"/>
          <w:lang w:val="en-US" w:eastAsia="zh-CN"/>
        </w:rPr>
        <w:t>18.54</w:t>
      </w:r>
      <w:r>
        <w:rPr>
          <w:rFonts w:ascii="仿宋" w:hAnsi="仿宋" w:eastAsia="仿宋"/>
          <w:color w:val="000000"/>
          <w:sz w:val="32"/>
          <w:szCs w:val="32"/>
        </w:rPr>
        <w:t>万元，完成预算</w:t>
      </w:r>
      <w:r>
        <w:rPr>
          <w:rFonts w:hint="eastAsia" w:ascii="仿宋" w:hAnsi="仿宋" w:eastAsia="仿宋"/>
          <w:color w:val="000000"/>
          <w:sz w:val="32"/>
          <w:szCs w:val="32"/>
          <w:highlight w:val="none"/>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203.76</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人员经费189.4</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万元，主要包括：基本工资、津贴补贴、绩效工资、机关事业单位基本养老保险缴费、职业年金缴费、其他社会保障缴费、其他工资福利支出、奖励金、住房公积金等。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公用经费14.33万元，主要包括：差旅费、劳务费、工会经费、福利费、公务用车运行维护费等。</w:t>
      </w:r>
    </w:p>
    <w:p>
      <w:pPr>
        <w:spacing w:line="600" w:lineRule="exact"/>
        <w:ind w:firstLine="640"/>
        <w:outlineLvl w:val="1"/>
        <w:rPr>
          <w:rStyle w:val="25"/>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240" w:lineRule="auto"/>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59264" behindDoc="0" locked="0" layoutInCell="1" allowOverlap="1">
            <wp:simplePos x="0" y="0"/>
            <wp:positionH relativeFrom="column">
              <wp:posOffset>977900</wp:posOffset>
            </wp:positionH>
            <wp:positionV relativeFrom="paragraph">
              <wp:posOffset>97790</wp:posOffset>
            </wp:positionV>
            <wp:extent cx="3502025" cy="2105660"/>
            <wp:effectExtent l="0" t="0" r="3175" b="12700"/>
            <wp:wrapSquare wrapText="bothSides"/>
            <wp:docPr id="7" name="图片 7" descr="图片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7"/>
                    <pic:cNvPicPr>
                      <a:picLocks noChangeAspect="true"/>
                    </pic:cNvPicPr>
                  </pic:nvPicPr>
                  <pic:blipFill>
                    <a:blip r:embed="rId12"/>
                    <a:stretch>
                      <a:fillRect/>
                    </a:stretch>
                  </pic:blipFill>
                  <pic:spPr>
                    <a:xfrm>
                      <a:off x="0" y="0"/>
                      <a:ext cx="3502025" cy="2105660"/>
                    </a:xfrm>
                    <a:prstGeom prst="rect">
                      <a:avLst/>
                    </a:prstGeom>
                  </pic:spPr>
                </pic:pic>
              </a:graphicData>
            </a:graphic>
          </wp:anchor>
        </w:drawing>
      </w: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1280" w:firstLineChars="4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hint="default" w:ascii="仿宋_GB2312" w:eastAsia="仿宋_GB2312"/>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lang w:val="en-US" w:eastAsia="zh-CN"/>
        </w:rPr>
        <w:t>与预算一致</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与2020年持平。</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000000"/>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主要用于中心日常工作所需的公务用车燃料费、维修费、过路过桥费、保险费等支出。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lang w:val="en-US" w:eastAsia="zh-CN"/>
        </w:rPr>
        <w:t>与预算一致</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r>
        <w:rPr>
          <w:rFonts w:hint="eastAsia" w:ascii="仿宋_GB2312" w:eastAsia="仿宋_GB2312"/>
          <w:color w:val="auto"/>
          <w:sz w:val="32"/>
          <w:szCs w:val="32"/>
          <w:highlight w:val="none"/>
        </w:rPr>
        <w:t>。</w:t>
      </w:r>
    </w:p>
    <w:p>
      <w:pPr>
        <w:spacing w:line="600" w:lineRule="exact"/>
        <w:ind w:firstLine="640"/>
        <w:outlineLvl w:val="1"/>
        <w:rPr>
          <w:rStyle w:val="25"/>
          <w:rFonts w:ascii="黑体" w:hAnsi="黑体" w:eastAsia="黑体"/>
          <w:color w:val="auto"/>
          <w:highlight w:val="none"/>
        </w:rPr>
      </w:pPr>
      <w:bookmarkStart w:id="40" w:name="_Toc15396610"/>
      <w:bookmarkStart w:id="41" w:name="_Toc15377218"/>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ascii="黑体" w:hAnsi="黑体" w:eastAsia="黑体"/>
          <w:b w:val="0"/>
          <w:color w:val="auto"/>
          <w:highlight w:val="none"/>
        </w:rPr>
      </w:pPr>
      <w:bookmarkStart w:id="42" w:name="_Toc15377219"/>
      <w:bookmarkStart w:id="43" w:name="_Toc15396611"/>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hint="eastAsia" w:ascii="黑体" w:hAnsi="黑体" w:eastAsia="黑体"/>
          <w:b w:val="0"/>
          <w:color w:val="auto"/>
          <w:highlight w:val="none"/>
        </w:rPr>
      </w:pPr>
      <w:bookmarkStart w:id="44" w:name="_Toc15377221"/>
      <w:bookmarkStart w:id="45" w:name="_Toc15396612"/>
      <w:r>
        <w:rPr>
          <w:rStyle w:val="25"/>
          <w:rFonts w:hint="eastAsia" w:ascii="黑体" w:hAnsi="黑体" w:eastAsia="黑体"/>
          <w:b w:val="0"/>
          <w:color w:val="auto"/>
          <w:highlight w:val="none"/>
        </w:rPr>
        <w:t>其他重要事项的情况说明</w:t>
      </w:r>
      <w:bookmarkEnd w:id="44"/>
      <w:bookmarkEnd w:id="45"/>
    </w:p>
    <w:p>
      <w:pPr>
        <w:spacing w:line="600" w:lineRule="exact"/>
        <w:ind w:firstLine="642"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政府投资审计中心</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政府投资审计中心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政府投资审计中心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000000"/>
          <w:sz w:val="32"/>
          <w:szCs w:val="32"/>
          <w:lang w:eastAsia="zh-CN"/>
        </w:rPr>
        <w:t>业务工作</w:t>
      </w:r>
      <w:r>
        <w:rPr>
          <w:rFonts w:hint="eastAsia" w:ascii="仿宋_GB2312" w:eastAsia="仿宋_GB2312"/>
          <w:color w:val="000000"/>
          <w:sz w:val="32"/>
          <w:szCs w:val="32"/>
        </w:rPr>
        <w:t>用车。</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w:t>
      </w:r>
      <w:r>
        <w:rPr>
          <w:rFonts w:hint="eastAsia" w:ascii="仿宋_GB2312" w:hAnsi="仿宋_GB2312" w:eastAsia="仿宋_GB2312" w:cs="仿宋_GB2312"/>
          <w:color w:val="000000"/>
          <w:sz w:val="32"/>
          <w:szCs w:val="32"/>
          <w:lang w:eastAsia="zh-CN"/>
        </w:rPr>
        <w:t>本单位</w:t>
      </w:r>
      <w:r>
        <w:rPr>
          <w:rFonts w:hint="eastAsia" w:ascii="仿宋_GB2312" w:hAnsi="仿宋_GB2312" w:eastAsia="仿宋_GB2312" w:cs="仿宋_GB2312"/>
          <w:color w:val="000000"/>
          <w:sz w:val="32"/>
          <w:szCs w:val="32"/>
          <w:lang w:val="en-US" w:eastAsia="zh-CN"/>
        </w:rPr>
        <w:t>2021年度无预算绩效管理目标任务</w:t>
      </w:r>
      <w:r>
        <w:rPr>
          <w:rFonts w:hint="eastAsia" w:ascii="仿宋_GB2312" w:hAnsi="仿宋_GB2312" w:eastAsia="仿宋_GB2312" w:cs="仿宋_GB2312"/>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autoSpaceDN w:val="0"/>
        <w:spacing w:line="560" w:lineRule="exact"/>
        <w:ind w:firstLine="420"/>
        <w:rPr>
          <w:rFonts w:ascii="仿宋" w:hAnsi="仿宋" w:eastAsia="仿宋"/>
          <w:color w:val="000000"/>
          <w:sz w:val="32"/>
          <w:szCs w:val="32"/>
        </w:rPr>
      </w:pPr>
      <w:bookmarkStart w:id="51" w:name="_Toc15377226"/>
      <w:r>
        <w:rPr>
          <w:rFonts w:hint="eastAsia" w:ascii="仿宋" w:hAnsi="仿宋" w:eastAsia="仿宋"/>
          <w:b/>
          <w:color w:val="000000"/>
          <w:sz w:val="32"/>
          <w:szCs w:val="32"/>
          <w:lang w:val="en-US" w:eastAsia="zh-CN"/>
        </w:rPr>
        <w:t xml:space="preserve"> </w:t>
      </w:r>
      <w:r>
        <w:rPr>
          <w:rFonts w:ascii="仿宋" w:hAnsi="仿宋" w:eastAsia="仿宋"/>
          <w:b/>
          <w:color w:val="000000"/>
          <w:sz w:val="32"/>
          <w:szCs w:val="32"/>
        </w:rPr>
        <w:t>1</w:t>
      </w:r>
      <w:r>
        <w:rPr>
          <w:rFonts w:ascii="仿宋" w:hAnsi="仿宋" w:eastAsia="仿宋"/>
          <w:color w:val="000000"/>
          <w:sz w:val="32"/>
          <w:szCs w:val="32"/>
        </w:rPr>
        <w:t>.</w:t>
      </w:r>
      <w:r>
        <w:rPr>
          <w:rFonts w:ascii="仿宋" w:hAnsi="仿宋" w:eastAsia="仿宋"/>
          <w:b/>
          <w:color w:val="000000"/>
          <w:sz w:val="32"/>
          <w:szCs w:val="32"/>
        </w:rPr>
        <w:t>财政拨款收入</w:t>
      </w:r>
      <w:r>
        <w:rPr>
          <w:rFonts w:ascii="仿宋" w:hAnsi="仿宋" w:eastAsia="仿宋"/>
          <w:color w:val="000000"/>
          <w:sz w:val="32"/>
          <w:szCs w:val="32"/>
        </w:rPr>
        <w:t>：指单位从同级财政部门取得的财政预算资金。</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2</w:t>
      </w:r>
      <w:r>
        <w:rPr>
          <w:rFonts w:ascii="仿宋" w:hAnsi="仿宋" w:eastAsia="仿宋"/>
          <w:b/>
          <w:color w:val="000000"/>
          <w:sz w:val="32"/>
          <w:szCs w:val="32"/>
        </w:rPr>
        <w:t>.其他收入</w:t>
      </w:r>
      <w:r>
        <w:rPr>
          <w:rFonts w:ascii="仿宋" w:hAnsi="仿宋" w:eastAsia="仿宋"/>
          <w:color w:val="000000"/>
          <w:sz w:val="32"/>
          <w:szCs w:val="32"/>
        </w:rPr>
        <w:t>：指单位取得的除上述收入以外的各项收入。</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3</w:t>
      </w:r>
      <w:r>
        <w:rPr>
          <w:rFonts w:ascii="仿宋" w:hAnsi="仿宋" w:eastAsia="仿宋"/>
          <w:b/>
          <w:color w:val="000000"/>
          <w:sz w:val="32"/>
          <w:szCs w:val="32"/>
        </w:rPr>
        <w:t>.一般公共服务支出（类）</w:t>
      </w:r>
      <w:r>
        <w:rPr>
          <w:rFonts w:hint="eastAsia" w:ascii="仿宋" w:hAnsi="仿宋" w:eastAsia="仿宋"/>
          <w:b/>
          <w:color w:val="000000"/>
          <w:sz w:val="32"/>
          <w:szCs w:val="32"/>
        </w:rPr>
        <w:t>审计</w:t>
      </w:r>
      <w:r>
        <w:rPr>
          <w:rFonts w:ascii="仿宋" w:hAnsi="仿宋" w:eastAsia="仿宋"/>
          <w:b/>
          <w:color w:val="000000"/>
          <w:sz w:val="32"/>
          <w:szCs w:val="32"/>
        </w:rPr>
        <w:t>事务（款）</w:t>
      </w:r>
      <w:r>
        <w:rPr>
          <w:rFonts w:hint="eastAsia" w:ascii="仿宋" w:hAnsi="仿宋" w:eastAsia="仿宋"/>
          <w:b/>
          <w:color w:val="000000"/>
          <w:sz w:val="32"/>
          <w:szCs w:val="32"/>
        </w:rPr>
        <w:t>机关服务</w:t>
      </w:r>
      <w:r>
        <w:rPr>
          <w:rFonts w:ascii="仿宋" w:hAnsi="仿宋" w:eastAsia="仿宋"/>
          <w:b/>
          <w:color w:val="000000"/>
          <w:sz w:val="32"/>
          <w:szCs w:val="32"/>
        </w:rPr>
        <w:t>（项）</w:t>
      </w:r>
      <w:r>
        <w:rPr>
          <w:rFonts w:ascii="仿宋" w:hAnsi="仿宋" w:eastAsia="仿宋"/>
          <w:color w:val="000000"/>
          <w:sz w:val="32"/>
          <w:szCs w:val="32"/>
        </w:rPr>
        <w:t>：</w:t>
      </w:r>
      <w:r>
        <w:rPr>
          <w:rFonts w:hint="eastAsia" w:ascii="仿宋" w:hAnsi="仿宋" w:eastAsia="仿宋"/>
          <w:color w:val="000000"/>
          <w:sz w:val="32"/>
          <w:szCs w:val="32"/>
        </w:rPr>
        <w:t>反映为行政单位（包括实行公务员管理的事业单位）提供后勤服务的各类后勤服务中心、医务室等附属事业单位的支出。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ascii="仿宋" w:hAnsi="仿宋" w:eastAsia="仿宋"/>
          <w:b/>
          <w:color w:val="000000"/>
          <w:sz w:val="32"/>
          <w:szCs w:val="32"/>
        </w:rPr>
        <w:t>4.教育支出（类）进修及培训（款）培训支出（项）</w:t>
      </w:r>
      <w:r>
        <w:rPr>
          <w:rFonts w:ascii="仿宋" w:hAnsi="仿宋" w:eastAsia="仿宋"/>
          <w:color w:val="000000"/>
          <w:sz w:val="32"/>
          <w:szCs w:val="32"/>
        </w:rPr>
        <w:t>：指反映各部门安排的用于培训的支出。教育部门的师资培训，党校、行政学院等专业干部教育机构的支出，以及退役士兵、转业士官的培训支出，不在本科目反映。</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5</w:t>
      </w:r>
      <w:r>
        <w:rPr>
          <w:rFonts w:ascii="仿宋" w:hAnsi="仿宋" w:eastAsia="仿宋"/>
          <w:b/>
          <w:color w:val="000000"/>
          <w:sz w:val="32"/>
          <w:szCs w:val="32"/>
        </w:rPr>
        <w:t>.社会保障和就业支出（类）行政事业单位离退休（款）事业单位离退休（项）</w:t>
      </w:r>
      <w:r>
        <w:rPr>
          <w:rFonts w:ascii="仿宋" w:hAnsi="仿宋" w:eastAsia="仿宋"/>
          <w:color w:val="000000"/>
          <w:sz w:val="32"/>
          <w:szCs w:val="32"/>
        </w:rPr>
        <w:t>：指反映实行归口管理的事业单位开支的离退休经费。</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6</w:t>
      </w:r>
      <w:r>
        <w:rPr>
          <w:rFonts w:ascii="仿宋" w:hAnsi="仿宋" w:eastAsia="仿宋"/>
          <w:b/>
          <w:color w:val="000000"/>
          <w:sz w:val="32"/>
          <w:szCs w:val="32"/>
        </w:rPr>
        <w:t>.社会保障和就业支出（类）行政事业单位离退休（款）机关事业单位基本养老保险缴费支出（项）：</w:t>
      </w:r>
      <w:r>
        <w:rPr>
          <w:rFonts w:ascii="仿宋" w:hAnsi="仿宋" w:eastAsia="仿宋"/>
          <w:color w:val="000000"/>
          <w:sz w:val="32"/>
          <w:szCs w:val="32"/>
        </w:rPr>
        <w:t>指反映机关事业单位实施养老保险制度由单位缴纳的基本养老保险费支出。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7</w:t>
      </w:r>
      <w:r>
        <w:rPr>
          <w:rFonts w:ascii="仿宋" w:hAnsi="仿宋" w:eastAsia="仿宋"/>
          <w:b/>
          <w:color w:val="000000"/>
          <w:sz w:val="32"/>
          <w:szCs w:val="32"/>
        </w:rPr>
        <w:t>.社会保障和就业支出（类）行政事业单位离退休（款）机关事业单位职业年金缴费支出（项）</w:t>
      </w:r>
      <w:r>
        <w:rPr>
          <w:rFonts w:ascii="仿宋" w:hAnsi="仿宋" w:eastAsia="仿宋"/>
          <w:color w:val="000000"/>
          <w:sz w:val="32"/>
          <w:szCs w:val="32"/>
        </w:rPr>
        <w:t>：指反映机关事业单位实施养老保险制度由单位实际缴纳的职业年金支出。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8</w:t>
      </w:r>
      <w:r>
        <w:rPr>
          <w:rFonts w:ascii="仿宋" w:hAnsi="仿宋" w:eastAsia="仿宋"/>
          <w:b/>
          <w:color w:val="000000"/>
          <w:sz w:val="32"/>
          <w:szCs w:val="32"/>
        </w:rPr>
        <w:t>.卫生健康支出（类）行政事业单位医疗（款）事业单位医疗（项）</w:t>
      </w:r>
      <w:r>
        <w:rPr>
          <w:rFonts w:ascii="仿宋" w:hAnsi="仿宋" w:eastAsia="仿宋"/>
          <w:color w:val="000000"/>
          <w:sz w:val="32"/>
          <w:szCs w:val="32"/>
        </w:rPr>
        <w:t>：指反映财政部门安排的事业单位基本医疗保险缴费经费，未参加医疗保险的事业单位的公费医疗经费，按国家规定享受离休人员待遇的医疗经费。</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9</w:t>
      </w:r>
      <w:r>
        <w:rPr>
          <w:rFonts w:ascii="仿宋" w:hAnsi="仿宋" w:eastAsia="仿宋"/>
          <w:b/>
          <w:color w:val="000000"/>
          <w:sz w:val="32"/>
          <w:szCs w:val="32"/>
        </w:rPr>
        <w:t>.住房保障支出（类）住房改革支出（款）住房公积金（项）</w:t>
      </w:r>
      <w:r>
        <w:rPr>
          <w:rFonts w:ascii="仿宋" w:hAnsi="仿宋" w:eastAsia="仿宋"/>
          <w:color w:val="000000"/>
          <w:sz w:val="32"/>
          <w:szCs w:val="32"/>
        </w:rPr>
        <w:t>：指反映行政事业单位按人力资源和社会保障部、财政部规定的基本工资和津贴补贴以及规定比例为职工缴纳的住房公积金。</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10</w:t>
      </w:r>
      <w:r>
        <w:rPr>
          <w:rFonts w:ascii="仿宋" w:hAnsi="仿宋" w:eastAsia="仿宋"/>
          <w:b/>
          <w:color w:val="000000"/>
          <w:sz w:val="32"/>
          <w:szCs w:val="32"/>
        </w:rPr>
        <w:t>.住房保障支出（类）住房改革支出（款）购房补贴（项）</w:t>
      </w:r>
      <w:r>
        <w:rPr>
          <w:rFonts w:ascii="仿宋" w:hAnsi="仿宋" w:eastAsia="仿宋"/>
          <w:color w:val="000000"/>
          <w:sz w:val="32"/>
          <w:szCs w:val="32"/>
        </w:rPr>
        <w:t>：指反映按房改政策规定，行政事业单位向符合条件职工（含离退休人员）、军队（含武警）向转役复员离退休人员发放的用于购买住房的补贴。</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11</w:t>
      </w:r>
      <w:r>
        <w:rPr>
          <w:rFonts w:ascii="仿宋" w:hAnsi="仿宋" w:eastAsia="仿宋"/>
          <w:b/>
          <w:color w:val="000000"/>
          <w:sz w:val="32"/>
          <w:szCs w:val="32"/>
        </w:rPr>
        <w:t>.基本支出</w:t>
      </w:r>
      <w:r>
        <w:rPr>
          <w:rFonts w:ascii="仿宋" w:hAnsi="仿宋" w:eastAsia="仿宋"/>
          <w:color w:val="000000"/>
          <w:sz w:val="32"/>
          <w:szCs w:val="32"/>
        </w:rPr>
        <w:t>：指为保障机构正常运转、完成日常工作任务而发生的人员支出和公用支出。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12</w:t>
      </w:r>
      <w:r>
        <w:rPr>
          <w:rFonts w:ascii="仿宋" w:hAnsi="仿宋" w:eastAsia="仿宋"/>
          <w:b/>
          <w:color w:val="000000"/>
          <w:sz w:val="32"/>
          <w:szCs w:val="32"/>
        </w:rPr>
        <w:t>.项目支出</w:t>
      </w:r>
      <w:r>
        <w:rPr>
          <w:rFonts w:ascii="仿宋" w:hAnsi="仿宋" w:eastAsia="仿宋"/>
          <w:color w:val="000000"/>
          <w:sz w:val="32"/>
          <w:szCs w:val="32"/>
        </w:rPr>
        <w:t>：指在基本支出之外为完成特定行政任务和事业发展目标所发生的支出。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13</w:t>
      </w:r>
      <w:r>
        <w:rPr>
          <w:rFonts w:ascii="仿宋" w:hAnsi="仿宋" w:eastAsia="仿宋"/>
          <w:b/>
          <w:color w:val="000000"/>
          <w:sz w:val="32"/>
          <w:szCs w:val="32"/>
        </w:rPr>
        <w:t>.“三公”经费：</w:t>
      </w:r>
      <w:r>
        <w:rPr>
          <w:rFonts w:ascii="仿宋" w:hAnsi="仿宋" w:eastAsia="仿宋"/>
          <w:color w:val="00000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color w:val="auto"/>
          <w:highlight w:val="none"/>
        </w:rPr>
      </w:pPr>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2"/>
    </w:p>
    <w:p>
      <w:pPr>
        <w:spacing w:line="600" w:lineRule="exact"/>
        <w:jc w:val="both"/>
        <w:outlineLvl w:val="0"/>
        <w:rPr>
          <w:rFonts w:hint="eastAsia" w:ascii="黑体" w:hAnsi="黑体" w:eastAsia="黑体"/>
          <w:color w:val="auto"/>
          <w:sz w:val="44"/>
          <w:szCs w:val="44"/>
          <w:highlight w:val="none"/>
        </w:rPr>
      </w:pPr>
      <w:bookmarkStart w:id="53" w:name="_Toc15396618"/>
    </w:p>
    <w:p>
      <w:pPr>
        <w:spacing w:line="600" w:lineRule="exact"/>
        <w:ind w:firstLine="640" w:firstLineChars="200"/>
        <w:jc w:val="both"/>
        <w:outlineLvl w:val="0"/>
        <w:rPr>
          <w:rFonts w:hint="eastAsia" w:ascii="黑体" w:hAnsi="黑体" w:eastAsia="黑体"/>
          <w:color w:val="auto"/>
          <w:sz w:val="44"/>
          <w:szCs w:val="44"/>
          <w:highlight w:val="none"/>
        </w:rPr>
      </w:pPr>
      <w:r>
        <w:rPr>
          <w:rFonts w:hint="eastAsia" w:ascii="仿宋_GB2312" w:hAnsi="宋体" w:eastAsia="仿宋_GB2312" w:cs="宋体"/>
          <w:color w:val="000000"/>
          <w:kern w:val="0"/>
          <w:sz w:val="32"/>
          <w:szCs w:val="32"/>
          <w:shd w:val="clear" w:color="auto" w:fill="FFFFFF"/>
          <w:lang w:val="en-US" w:eastAsia="zh-CN"/>
        </w:rPr>
        <w:t>无。</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4"/>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5"/>
    </w:p>
    <w:p>
      <w:pPr>
        <w:pStyle w:val="4"/>
        <w:rPr>
          <w:rStyle w:val="25"/>
          <w:rFonts w:hint="eastAsia" w:ascii="仿宋" w:hAnsi="仿宋" w:eastAsia="仿宋"/>
          <w:b w:val="0"/>
          <w:bCs w:val="0"/>
          <w:color w:val="auto"/>
          <w:highlight w:val="none"/>
        </w:rPr>
      </w:pPr>
      <w:bookmarkStart w:id="66"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201BE03"/>
    <w:multiLevelType w:val="singleLevel"/>
    <w:tmpl w:val="3201BE03"/>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ZTk0YjZlMGY3NmE4Mjg5YmQ2MWE5YWJkOThjYz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6808"/>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AB0032"/>
    <w:rsid w:val="052D2B52"/>
    <w:rsid w:val="069A035E"/>
    <w:rsid w:val="08CA47FF"/>
    <w:rsid w:val="0A2032A3"/>
    <w:rsid w:val="0B8A37D8"/>
    <w:rsid w:val="0B9C06D5"/>
    <w:rsid w:val="0BE800E8"/>
    <w:rsid w:val="10C055FF"/>
    <w:rsid w:val="118107EC"/>
    <w:rsid w:val="11DD6519"/>
    <w:rsid w:val="12902616"/>
    <w:rsid w:val="134F427F"/>
    <w:rsid w:val="146D0E60"/>
    <w:rsid w:val="15227E9D"/>
    <w:rsid w:val="16BB723D"/>
    <w:rsid w:val="18015F3F"/>
    <w:rsid w:val="1A50725A"/>
    <w:rsid w:val="1BE8440E"/>
    <w:rsid w:val="1C7A5928"/>
    <w:rsid w:val="1D155CEE"/>
    <w:rsid w:val="1DC44F32"/>
    <w:rsid w:val="1E2C58E8"/>
    <w:rsid w:val="1F677E3D"/>
    <w:rsid w:val="1FC63B1B"/>
    <w:rsid w:val="20F57F95"/>
    <w:rsid w:val="240371BF"/>
    <w:rsid w:val="25C741E6"/>
    <w:rsid w:val="27842671"/>
    <w:rsid w:val="2905584C"/>
    <w:rsid w:val="29FD04D3"/>
    <w:rsid w:val="2ABE7A3E"/>
    <w:rsid w:val="2BE266B2"/>
    <w:rsid w:val="2EFA178C"/>
    <w:rsid w:val="2EFC30B5"/>
    <w:rsid w:val="2F2D66FF"/>
    <w:rsid w:val="30B46D73"/>
    <w:rsid w:val="319F7F4E"/>
    <w:rsid w:val="31AA329C"/>
    <w:rsid w:val="31BB7257"/>
    <w:rsid w:val="33A342A9"/>
    <w:rsid w:val="33ED32BF"/>
    <w:rsid w:val="38787C50"/>
    <w:rsid w:val="38FD48BB"/>
    <w:rsid w:val="39AE70AB"/>
    <w:rsid w:val="3B787F67"/>
    <w:rsid w:val="3C0C0783"/>
    <w:rsid w:val="3F9F3A96"/>
    <w:rsid w:val="41082071"/>
    <w:rsid w:val="41326E0A"/>
    <w:rsid w:val="418A4550"/>
    <w:rsid w:val="41CF41E8"/>
    <w:rsid w:val="41F63994"/>
    <w:rsid w:val="42206C63"/>
    <w:rsid w:val="429B3C85"/>
    <w:rsid w:val="459E4A6E"/>
    <w:rsid w:val="493C27E9"/>
    <w:rsid w:val="496F39ED"/>
    <w:rsid w:val="49FF41D3"/>
    <w:rsid w:val="4BE068DB"/>
    <w:rsid w:val="4BF6002B"/>
    <w:rsid w:val="4ECE2238"/>
    <w:rsid w:val="50E04873"/>
    <w:rsid w:val="51DB4B86"/>
    <w:rsid w:val="52BF4122"/>
    <w:rsid w:val="54597863"/>
    <w:rsid w:val="55333C3E"/>
    <w:rsid w:val="57C1645B"/>
    <w:rsid w:val="5B8D3163"/>
    <w:rsid w:val="5DC836C6"/>
    <w:rsid w:val="62F52E8D"/>
    <w:rsid w:val="6347018D"/>
    <w:rsid w:val="64CA39A1"/>
    <w:rsid w:val="65451723"/>
    <w:rsid w:val="66BC48FC"/>
    <w:rsid w:val="68B65AA7"/>
    <w:rsid w:val="696508C0"/>
    <w:rsid w:val="69C243A3"/>
    <w:rsid w:val="6BD83F86"/>
    <w:rsid w:val="6BEE5558"/>
    <w:rsid w:val="6C4A05C8"/>
    <w:rsid w:val="6D7D631A"/>
    <w:rsid w:val="6FEB47FF"/>
    <w:rsid w:val="70A72179"/>
    <w:rsid w:val="72734D90"/>
    <w:rsid w:val="72CF1A7D"/>
    <w:rsid w:val="73F97190"/>
    <w:rsid w:val="751002F7"/>
    <w:rsid w:val="75E11C8A"/>
    <w:rsid w:val="778B764A"/>
    <w:rsid w:val="789F5CA1"/>
    <w:rsid w:val="78E923F0"/>
    <w:rsid w:val="7914420C"/>
    <w:rsid w:val="79677152"/>
    <w:rsid w:val="79E7B28D"/>
    <w:rsid w:val="7A94376E"/>
    <w:rsid w:val="7D171AF4"/>
    <w:rsid w:val="7F736048"/>
    <w:rsid w:val="7F9F20EE"/>
    <w:rsid w:val="9E3A10E2"/>
    <w:rsid w:val="F1EB83EB"/>
    <w:rsid w:val="F2E1F9D4"/>
    <w:rsid w:val="F7880819"/>
    <w:rsid w:val="FFEF4D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 Char Char1 Char Char Char Char"/>
    <w:basedOn w:val="31"/>
    <w:qFormat/>
    <w:uiPriority w:val="0"/>
    <w:pPr>
      <w:spacing w:line="240" w:lineRule="atLeast"/>
      <w:ind w:left="420" w:firstLine="420"/>
    </w:pPr>
  </w:style>
  <w:style w:type="paragraph" w:customStyle="1" w:styleId="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
    <w:name w:val="正文 New New New"/>
    <w:qFormat/>
    <w:uiPriority w:val="0"/>
    <w:pPr>
      <w:widowControl w:val="0"/>
      <w:jc w:val="both"/>
    </w:pPr>
    <w:rPr>
      <w:rFonts w:ascii="Calibri" w:hAnsi="Calibri" w:eastAsia="宋体" w:cs="黑体"/>
      <w:kern w:val="2"/>
      <w:sz w:val="21"/>
      <w:szCs w:val="24"/>
      <w:lang w:val="en-US" w:eastAsia="zh-CN"/>
    </w:rPr>
  </w:style>
  <w:style w:type="paragraph" w:customStyle="1" w:styleId="33">
    <w:name w:val="列出段落1"/>
    <w:basedOn w:val="1"/>
    <w:qFormat/>
    <w:uiPriority w:val="0"/>
    <w:pPr>
      <w:ind w:firstLine="420" w:firstLineChars="200"/>
    </w:pPr>
  </w:style>
  <w:style w:type="paragraph" w:customStyle="1" w:styleId="34">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16</Pages>
  <Words>4095</Words>
  <Characters>4390</Characters>
  <Lines>61</Lines>
  <Paragraphs>17</Paragraphs>
  <TotalTime>0</TotalTime>
  <ScaleCrop>false</ScaleCrop>
  <LinksUpToDate>false</LinksUpToDate>
  <CharactersWithSpaces>4428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kylin</cp:lastModifiedBy>
  <cp:lastPrinted>2022-08-07T02:23:00Z</cp:lastPrinted>
  <dcterms:modified xsi:type="dcterms:W3CDTF">2023-10-20T12:38:00Z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CE6ADF2C970D4676AF658ADDA8C0F4EF</vt:lpwstr>
  </property>
</Properties>
</file>